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hint="eastAsia" w:ascii="仿宋" w:hAnsi="仿宋" w:eastAsia="仿宋" w:cs="仿宋"/>
          <w:b/>
          <w:bCs/>
          <w:color w:val="auto"/>
          <w:kern w:val="0"/>
          <w:sz w:val="30"/>
          <w:szCs w:val="30"/>
        </w:rPr>
        <w:sectPr>
          <w:headerReference r:id="rId7" w:type="first"/>
          <w:footerReference r:id="rId8" w:type="first"/>
          <w:headerReference r:id="rId5" w:type="default"/>
          <w:head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
          <w:b/>
          <w:bCs/>
          <w:color w:val="auto"/>
          <w:kern w:val="0"/>
          <w:sz w:val="30"/>
          <w:szCs w:val="30"/>
        </w:rPr>
        <w:drawing>
          <wp:anchor distT="0" distB="0" distL="114300" distR="114300" simplePos="0" relativeHeight="251658240" behindDoc="0" locked="0" layoutInCell="1" allowOverlap="1">
            <wp:simplePos x="0" y="0"/>
            <wp:positionH relativeFrom="column">
              <wp:posOffset>-1162685</wp:posOffset>
            </wp:positionH>
            <wp:positionV relativeFrom="paragraph">
              <wp:posOffset>-1048385</wp:posOffset>
            </wp:positionV>
            <wp:extent cx="7702550" cy="10895965"/>
            <wp:effectExtent l="0" t="0" r="12700" b="635"/>
            <wp:wrapNone/>
            <wp:docPr id="1" name="图片 1" descr="SKM_2871911070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KM_28719110702500"/>
                    <pic:cNvPicPr>
                      <a:picLocks noChangeAspect="1"/>
                    </pic:cNvPicPr>
                  </pic:nvPicPr>
                  <pic:blipFill>
                    <a:blip r:embed="rId15"/>
                    <a:stretch>
                      <a:fillRect/>
                    </a:stretch>
                  </pic:blipFill>
                  <pic:spPr>
                    <a:xfrm>
                      <a:off x="0" y="0"/>
                      <a:ext cx="7702550" cy="10895965"/>
                    </a:xfrm>
                    <a:prstGeom prst="rect">
                      <a:avLst/>
                    </a:prstGeom>
                  </pic:spPr>
                </pic:pic>
              </a:graphicData>
            </a:graphic>
          </wp:anchor>
        </w:drawing>
      </w:r>
    </w:p>
    <w:p>
      <w:pPr>
        <w:pStyle w:val="2"/>
        <w:rPr>
          <w:rFonts w:hint="eastAsia" w:ascii="仿宋" w:hAnsi="仿宋" w:eastAsia="仿宋" w:cs="仿宋"/>
          <w:b/>
          <w:bCs/>
          <w:color w:val="auto"/>
          <w:lang w:eastAsia="zh-CN"/>
        </w:rPr>
      </w:pPr>
      <w:bookmarkStart w:id="225" w:name="_GoBack"/>
      <w:bookmarkEnd w:id="225"/>
      <w:r>
        <w:rPr>
          <w:rFonts w:hint="eastAsia" w:ascii="仿宋" w:hAnsi="仿宋" w:eastAsia="仿宋" w:cs="仿宋"/>
          <w:b/>
          <w:bCs/>
          <w:color w:val="auto"/>
          <w:kern w:val="0"/>
          <w:sz w:val="30"/>
          <w:szCs w:val="30"/>
        </w:rPr>
        <w:t>项目编号：ZDZC2019103001</w:t>
      </w:r>
    </w:p>
    <w:p>
      <w:pPr>
        <w:jc w:val="center"/>
        <w:rPr>
          <w:rFonts w:hint="eastAsia" w:ascii="仿宋" w:hAnsi="仿宋" w:eastAsia="仿宋" w:cs="仿宋"/>
          <w:shadow/>
          <w:sz w:val="48"/>
        </w:rPr>
      </w:pPr>
    </w:p>
    <w:p>
      <w:pPr>
        <w:ind w:firstLine="420"/>
        <w:rPr>
          <w:rFonts w:hint="eastAsia" w:ascii="仿宋" w:hAnsi="仿宋" w:eastAsia="仿宋" w:cs="仿宋"/>
        </w:rPr>
      </w:pPr>
    </w:p>
    <w:p>
      <w:pPr>
        <w:jc w:val="center"/>
        <w:rPr>
          <w:rFonts w:hint="eastAsia" w:ascii="仿宋" w:hAnsi="仿宋" w:eastAsia="仿宋" w:cs="仿宋"/>
          <w:shadow/>
          <w:sz w:val="44"/>
        </w:rPr>
      </w:pPr>
    </w:p>
    <w:p>
      <w:pPr>
        <w:ind w:firstLine="420"/>
        <w:jc w:val="center"/>
        <w:rPr>
          <w:rFonts w:hint="eastAsia" w:ascii="仿宋" w:hAnsi="仿宋" w:eastAsia="仿宋" w:cs="仿宋"/>
          <w:sz w:val="24"/>
          <w:szCs w:val="22"/>
        </w:rPr>
      </w:pPr>
      <w:r>
        <w:rPr>
          <w:rFonts w:hint="eastAsia" w:ascii="仿宋" w:hAnsi="仿宋" w:eastAsia="仿宋" w:cs="仿宋"/>
          <w:b/>
          <w:bCs/>
          <w:sz w:val="72"/>
          <w:szCs w:val="72"/>
          <w:lang w:eastAsia="zh-CN"/>
        </w:rPr>
        <w:t>陕西省汉中监狱无人机防御系统采购项目</w:t>
      </w:r>
    </w:p>
    <w:p>
      <w:pPr>
        <w:spacing w:line="360" w:lineRule="atLeast"/>
        <w:jc w:val="center"/>
        <w:rPr>
          <w:rFonts w:hint="eastAsia" w:ascii="仿宋" w:hAnsi="仿宋" w:eastAsia="仿宋" w:cs="仿宋"/>
          <w:sz w:val="72"/>
          <w:szCs w:val="72"/>
        </w:rPr>
      </w:pPr>
    </w:p>
    <w:p>
      <w:pPr>
        <w:spacing w:line="360" w:lineRule="atLeast"/>
        <w:jc w:val="center"/>
        <w:rPr>
          <w:rFonts w:hint="eastAsia" w:ascii="仿宋" w:hAnsi="仿宋" w:eastAsia="仿宋" w:cs="仿宋"/>
          <w:sz w:val="72"/>
          <w:szCs w:val="72"/>
        </w:rPr>
      </w:pPr>
    </w:p>
    <w:p>
      <w:pPr>
        <w:spacing w:line="360" w:lineRule="atLeast"/>
        <w:jc w:val="center"/>
        <w:rPr>
          <w:rFonts w:hint="eastAsia" w:ascii="仿宋" w:hAnsi="仿宋" w:eastAsia="仿宋" w:cs="仿宋"/>
          <w:b/>
          <w:sz w:val="96"/>
          <w:szCs w:val="96"/>
        </w:rPr>
      </w:pPr>
      <w:r>
        <w:rPr>
          <w:rFonts w:hint="eastAsia" w:ascii="仿宋" w:hAnsi="仿宋" w:eastAsia="仿宋" w:cs="仿宋"/>
          <w:b/>
          <w:sz w:val="96"/>
          <w:szCs w:val="96"/>
        </w:rPr>
        <w:t>竞争性磋商文件</w:t>
      </w:r>
    </w:p>
    <w:p>
      <w:pPr>
        <w:ind w:firstLine="420"/>
        <w:rPr>
          <w:rFonts w:hint="eastAsia" w:ascii="仿宋" w:hAnsi="仿宋" w:eastAsia="仿宋" w:cs="仿宋"/>
        </w:rPr>
      </w:pPr>
    </w:p>
    <w:p>
      <w:pPr>
        <w:ind w:firstLine="420"/>
        <w:rPr>
          <w:rFonts w:hint="eastAsia" w:ascii="仿宋" w:hAnsi="仿宋" w:eastAsia="仿宋" w:cs="仿宋"/>
        </w:rPr>
      </w:pPr>
    </w:p>
    <w:p>
      <w:pPr>
        <w:jc w:val="center"/>
        <w:rPr>
          <w:rFonts w:hint="eastAsia" w:ascii="仿宋" w:hAnsi="仿宋" w:eastAsia="仿宋" w:cs="仿宋"/>
          <w:b/>
          <w:sz w:val="30"/>
        </w:rPr>
      </w:pPr>
    </w:p>
    <w:p>
      <w:pPr>
        <w:jc w:val="center"/>
        <w:rPr>
          <w:rFonts w:hint="eastAsia" w:ascii="仿宋" w:hAnsi="仿宋" w:eastAsia="仿宋" w:cs="仿宋"/>
          <w:b/>
          <w:sz w:val="30"/>
        </w:rPr>
      </w:pPr>
    </w:p>
    <w:p>
      <w:pPr>
        <w:jc w:val="center"/>
        <w:rPr>
          <w:rFonts w:hint="eastAsia" w:ascii="仿宋" w:hAnsi="仿宋" w:eastAsia="仿宋" w:cs="仿宋"/>
          <w:b/>
          <w:sz w:val="30"/>
        </w:rPr>
      </w:pPr>
    </w:p>
    <w:p>
      <w:pPr>
        <w:jc w:val="center"/>
        <w:rPr>
          <w:rFonts w:hint="eastAsia" w:ascii="仿宋" w:hAnsi="仿宋" w:eastAsia="仿宋" w:cs="仿宋"/>
          <w:b/>
          <w:sz w:val="30"/>
        </w:rPr>
      </w:pPr>
    </w:p>
    <w:p>
      <w:pPr>
        <w:rPr>
          <w:rFonts w:hint="eastAsia" w:ascii="仿宋" w:hAnsi="仿宋" w:eastAsia="仿宋" w:cs="仿宋"/>
          <w:b/>
          <w:sz w:val="30"/>
        </w:rPr>
      </w:pPr>
    </w:p>
    <w:p>
      <w:pPr>
        <w:jc w:val="center"/>
        <w:rPr>
          <w:rFonts w:hint="eastAsia" w:ascii="仿宋" w:hAnsi="仿宋" w:eastAsia="仿宋" w:cs="仿宋"/>
          <w:b/>
          <w:sz w:val="30"/>
        </w:rPr>
      </w:pPr>
    </w:p>
    <w:p>
      <w:pPr>
        <w:keepNext w:val="0"/>
        <w:keepLines w:val="0"/>
        <w:pageBreakBefore w:val="0"/>
        <w:widowControl w:val="0"/>
        <w:tabs>
          <w:tab w:val="left" w:pos="5460"/>
        </w:tabs>
        <w:kinsoku/>
        <w:wordWrap/>
        <w:overflowPunct/>
        <w:topLinePunct w:val="0"/>
        <w:autoSpaceDE w:val="0"/>
        <w:autoSpaceDN w:val="0"/>
        <w:bidi w:val="0"/>
        <w:adjustRightInd w:val="0"/>
        <w:snapToGrid w:val="0"/>
        <w:spacing w:line="480" w:lineRule="auto"/>
        <w:ind w:firstLine="1020" w:firstLineChars="0"/>
        <w:jc w:val="both"/>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采   购   人：陕西省汉中监狱</w:t>
      </w:r>
    </w:p>
    <w:p>
      <w:pPr>
        <w:tabs>
          <w:tab w:val="left" w:pos="5460"/>
        </w:tabs>
        <w:autoSpaceDE w:val="0"/>
        <w:autoSpaceDN w:val="0"/>
        <w:adjustRightInd w:val="0"/>
        <w:snapToGrid w:val="0"/>
        <w:spacing w:line="480" w:lineRule="auto"/>
        <w:jc w:val="center"/>
        <w:rPr>
          <w:rFonts w:hint="eastAsia" w:ascii="仿宋" w:hAnsi="仿宋" w:eastAsia="仿宋" w:cs="仿宋"/>
          <w:b/>
          <w:bCs/>
          <w:color w:val="000000"/>
          <w:sz w:val="30"/>
          <w:szCs w:val="30"/>
        </w:rPr>
      </w:pPr>
      <w:r>
        <w:rPr>
          <w:rFonts w:hint="eastAsia" w:ascii="仿宋" w:hAnsi="仿宋" w:eastAsia="仿宋" w:cs="仿宋"/>
          <w:b/>
          <w:bCs/>
          <w:color w:val="000000"/>
          <w:sz w:val="30"/>
          <w:szCs w:val="30"/>
        </w:rPr>
        <w:t>采购代理机构：正大鹏安建设项目管理有限公司</w:t>
      </w:r>
    </w:p>
    <w:p>
      <w:pPr>
        <w:keepNext w:val="0"/>
        <w:keepLines w:val="0"/>
        <w:pageBreakBefore w:val="0"/>
        <w:widowControl w:val="0"/>
        <w:tabs>
          <w:tab w:val="left" w:pos="5460"/>
        </w:tabs>
        <w:kinsoku/>
        <w:wordWrap/>
        <w:overflowPunct/>
        <w:topLinePunct w:val="0"/>
        <w:autoSpaceDE w:val="0"/>
        <w:autoSpaceDN w:val="0"/>
        <w:bidi w:val="0"/>
        <w:adjustRightInd w:val="0"/>
        <w:snapToGrid w:val="0"/>
        <w:spacing w:line="480" w:lineRule="auto"/>
        <w:ind w:firstLine="1020" w:firstLineChars="0"/>
        <w:jc w:val="left"/>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日        期：二〇一</w:t>
      </w:r>
      <w:r>
        <w:rPr>
          <w:rFonts w:hint="eastAsia" w:ascii="仿宋" w:hAnsi="仿宋" w:eastAsia="仿宋" w:cs="仿宋"/>
          <w:b/>
          <w:bCs/>
          <w:color w:val="000000"/>
          <w:sz w:val="30"/>
          <w:szCs w:val="30"/>
          <w:lang w:eastAsia="zh-CN"/>
        </w:rPr>
        <w:t>九</w:t>
      </w:r>
      <w:r>
        <w:rPr>
          <w:rFonts w:hint="eastAsia" w:ascii="仿宋" w:hAnsi="仿宋" w:eastAsia="仿宋" w:cs="仿宋"/>
          <w:b/>
          <w:bCs/>
          <w:color w:val="000000"/>
          <w:sz w:val="30"/>
          <w:szCs w:val="30"/>
        </w:rPr>
        <w:t>年</w:t>
      </w:r>
      <w:r>
        <w:rPr>
          <w:rFonts w:hint="eastAsia" w:ascii="仿宋" w:hAnsi="仿宋" w:eastAsia="仿宋" w:cs="仿宋"/>
          <w:b/>
          <w:bCs/>
          <w:color w:val="000000"/>
          <w:sz w:val="30"/>
          <w:szCs w:val="30"/>
          <w:lang w:eastAsia="zh-CN"/>
        </w:rPr>
        <w:t>十</w:t>
      </w:r>
      <w:r>
        <w:rPr>
          <w:rFonts w:hint="eastAsia" w:ascii="仿宋" w:hAnsi="仿宋" w:eastAsia="仿宋" w:cs="仿宋"/>
          <w:b/>
          <w:bCs/>
          <w:color w:val="000000"/>
          <w:sz w:val="30"/>
          <w:szCs w:val="30"/>
        </w:rPr>
        <w:t>月</w:t>
      </w:r>
    </w:p>
    <w:p>
      <w:pPr>
        <w:spacing w:line="360" w:lineRule="atLeast"/>
        <w:rPr>
          <w:rFonts w:hint="eastAsia" w:ascii="仿宋" w:hAnsi="仿宋" w:eastAsia="仿宋" w:cs="仿宋"/>
          <w:color w:val="auto"/>
          <w:sz w:val="42"/>
          <w:szCs w:val="42"/>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目  录</w:t>
      </w:r>
    </w:p>
    <w:p>
      <w:pPr>
        <w:pStyle w:val="6"/>
        <w:rPr>
          <w:rFonts w:hint="eastAsia" w:ascii="仿宋" w:hAnsi="仿宋" w:eastAsia="仿宋" w:cs="仿宋"/>
          <w:color w:val="000000" w:themeColor="text1"/>
          <w:highlight w:val="none"/>
        </w:rPr>
      </w:pPr>
    </w:p>
    <w:p>
      <w:pPr>
        <w:pStyle w:val="32"/>
        <w:keepNext w:val="0"/>
        <w:keepLines w:val="0"/>
        <w:pageBreakBefore w:val="0"/>
        <w:widowControl w:val="0"/>
        <w:tabs>
          <w:tab w:val="right" w:leader="dot" w:pos="9072"/>
        </w:tabs>
        <w:kinsoku/>
        <w:wordWrap/>
        <w:overflowPunct/>
        <w:topLinePunct w:val="0"/>
        <w:autoSpaceDE/>
        <w:autoSpaceDN/>
        <w:bidi w:val="0"/>
        <w:adjustRightInd/>
        <w:snapToGrid/>
        <w:spacing w:line="600" w:lineRule="exact"/>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highlight w:val="none"/>
        </w:rPr>
        <w:fldChar w:fldCharType="begin"/>
      </w:r>
      <w:r>
        <w:rPr>
          <w:rFonts w:hint="eastAsia" w:ascii="仿宋" w:hAnsi="仿宋" w:eastAsia="仿宋" w:cs="仿宋"/>
          <w:color w:val="000000" w:themeColor="text1"/>
          <w:sz w:val="24"/>
          <w:szCs w:val="24"/>
          <w:highlight w:val="none"/>
        </w:rPr>
        <w:instrText xml:space="preserve"> TOC \o "1-3" \h \z \u </w:instrText>
      </w:r>
      <w:r>
        <w:rPr>
          <w:rFonts w:hint="eastAsia" w:ascii="仿宋" w:hAnsi="仿宋" w:eastAsia="仿宋" w:cs="仿宋"/>
          <w:color w:val="000000" w:themeColor="text1"/>
          <w:sz w:val="24"/>
          <w:szCs w:val="24"/>
          <w:highlight w:val="none"/>
        </w:rPr>
        <w:fldChar w:fldCharType="separate"/>
      </w:r>
      <w:r>
        <w:rPr>
          <w:rFonts w:hint="eastAsia" w:ascii="仿宋" w:hAnsi="仿宋" w:eastAsia="仿宋" w:cs="仿宋"/>
          <w:color w:val="000000" w:themeColor="text1"/>
          <w:sz w:val="24"/>
          <w:szCs w:val="24"/>
          <w:highlight w:val="none"/>
        </w:rPr>
        <w:fldChar w:fldCharType="begin"/>
      </w:r>
      <w:r>
        <w:rPr>
          <w:rFonts w:hint="eastAsia" w:ascii="仿宋" w:hAnsi="仿宋" w:eastAsia="仿宋" w:cs="仿宋"/>
          <w:sz w:val="24"/>
          <w:szCs w:val="24"/>
          <w:highlight w:val="none"/>
        </w:rPr>
        <w:instrText xml:space="preserve"> HYPERLINK \l _Toc17512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rPr>
        <w:t xml:space="preserve">第一部分 </w:t>
      </w:r>
      <w:r>
        <w:rPr>
          <w:rFonts w:hint="eastAsia" w:ascii="仿宋" w:hAnsi="仿宋" w:eastAsia="仿宋" w:cs="仿宋"/>
          <w:sz w:val="24"/>
          <w:szCs w:val="24"/>
          <w:highlight w:val="none"/>
        </w:rPr>
        <w:t>竞争性磋商公告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_Toc17512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color w:val="000000" w:themeColor="text1"/>
          <w:sz w:val="24"/>
          <w:szCs w:val="24"/>
          <w:highlight w:val="none"/>
        </w:rPr>
        <w:fldChar w:fldCharType="end"/>
      </w:r>
    </w:p>
    <w:p>
      <w:pPr>
        <w:pStyle w:val="32"/>
        <w:keepNext w:val="0"/>
        <w:keepLines w:val="0"/>
        <w:pageBreakBefore w:val="0"/>
        <w:widowControl w:val="0"/>
        <w:tabs>
          <w:tab w:val="right" w:leader="dot" w:pos="9072"/>
        </w:tabs>
        <w:kinsoku/>
        <w:wordWrap/>
        <w:overflowPunct/>
        <w:topLinePunct w:val="0"/>
        <w:autoSpaceDE/>
        <w:autoSpaceDN/>
        <w:bidi w:val="0"/>
        <w:adjustRightInd/>
        <w:snapToGrid/>
        <w:spacing w:line="600" w:lineRule="exact"/>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highlight w:val="none"/>
        </w:rPr>
        <w:fldChar w:fldCharType="begin"/>
      </w:r>
      <w:r>
        <w:rPr>
          <w:rFonts w:hint="eastAsia" w:ascii="仿宋" w:hAnsi="仿宋" w:eastAsia="仿宋" w:cs="仿宋"/>
          <w:sz w:val="24"/>
          <w:szCs w:val="24"/>
          <w:highlight w:val="none"/>
        </w:rPr>
        <w:instrText xml:space="preserve"> HYPERLINK \l _Toc31650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rPr>
        <w:t xml:space="preserve">第二部分 </w:t>
      </w:r>
      <w:r>
        <w:rPr>
          <w:rFonts w:hint="eastAsia" w:ascii="仿宋" w:hAnsi="仿宋" w:eastAsia="仿宋" w:cs="仿宋"/>
          <w:sz w:val="24"/>
          <w:szCs w:val="24"/>
          <w:highlight w:val="none"/>
        </w:rPr>
        <w:t>供应商须知前附表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_Toc31650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color w:val="000000" w:themeColor="text1"/>
          <w:sz w:val="24"/>
          <w:szCs w:val="24"/>
          <w:highlight w:val="none"/>
        </w:rPr>
        <w:fldChar w:fldCharType="end"/>
      </w:r>
    </w:p>
    <w:p>
      <w:pPr>
        <w:pStyle w:val="32"/>
        <w:keepNext w:val="0"/>
        <w:keepLines w:val="0"/>
        <w:pageBreakBefore w:val="0"/>
        <w:widowControl w:val="0"/>
        <w:tabs>
          <w:tab w:val="right" w:leader="dot" w:pos="9072"/>
        </w:tabs>
        <w:kinsoku/>
        <w:wordWrap/>
        <w:overflowPunct/>
        <w:topLinePunct w:val="0"/>
        <w:autoSpaceDE/>
        <w:autoSpaceDN/>
        <w:bidi w:val="0"/>
        <w:adjustRightInd/>
        <w:snapToGrid/>
        <w:spacing w:line="600" w:lineRule="exact"/>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highlight w:val="none"/>
        </w:rPr>
        <w:fldChar w:fldCharType="begin"/>
      </w:r>
      <w:r>
        <w:rPr>
          <w:rFonts w:hint="eastAsia" w:ascii="仿宋" w:hAnsi="仿宋" w:eastAsia="仿宋" w:cs="仿宋"/>
          <w:sz w:val="24"/>
          <w:szCs w:val="24"/>
          <w:highlight w:val="none"/>
        </w:rPr>
        <w:instrText xml:space="preserve"> HYPERLINK \l _Toc15985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第三部分 磋商须知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_Toc15985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color w:val="000000" w:themeColor="text1"/>
          <w:sz w:val="24"/>
          <w:szCs w:val="24"/>
          <w:highlight w:val="none"/>
        </w:rPr>
        <w:fldChar w:fldCharType="end"/>
      </w:r>
    </w:p>
    <w:p>
      <w:pPr>
        <w:pStyle w:val="32"/>
        <w:keepNext w:val="0"/>
        <w:keepLines w:val="0"/>
        <w:pageBreakBefore w:val="0"/>
        <w:widowControl w:val="0"/>
        <w:tabs>
          <w:tab w:val="right" w:leader="dot" w:pos="9072"/>
        </w:tabs>
        <w:kinsoku/>
        <w:wordWrap/>
        <w:overflowPunct/>
        <w:topLinePunct w:val="0"/>
        <w:autoSpaceDE/>
        <w:autoSpaceDN/>
        <w:bidi w:val="0"/>
        <w:adjustRightInd/>
        <w:snapToGrid/>
        <w:spacing w:line="600" w:lineRule="exact"/>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highlight w:val="none"/>
        </w:rPr>
        <w:fldChar w:fldCharType="begin"/>
      </w:r>
      <w:r>
        <w:rPr>
          <w:rFonts w:hint="eastAsia" w:ascii="仿宋" w:hAnsi="仿宋" w:eastAsia="仿宋" w:cs="仿宋"/>
          <w:sz w:val="24"/>
          <w:szCs w:val="24"/>
          <w:highlight w:val="none"/>
        </w:rPr>
        <w:instrText xml:space="preserve"> HYPERLINK \l _Toc31617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第四部分 竞争性磋商办法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_Toc31617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color w:val="000000" w:themeColor="text1"/>
          <w:sz w:val="24"/>
          <w:szCs w:val="24"/>
          <w:highlight w:val="none"/>
        </w:rPr>
        <w:fldChar w:fldCharType="end"/>
      </w:r>
    </w:p>
    <w:p>
      <w:pPr>
        <w:pStyle w:val="32"/>
        <w:keepNext w:val="0"/>
        <w:keepLines w:val="0"/>
        <w:pageBreakBefore w:val="0"/>
        <w:widowControl w:val="0"/>
        <w:tabs>
          <w:tab w:val="right" w:leader="dot" w:pos="9072"/>
        </w:tabs>
        <w:kinsoku/>
        <w:wordWrap/>
        <w:overflowPunct/>
        <w:topLinePunct w:val="0"/>
        <w:autoSpaceDE/>
        <w:autoSpaceDN/>
        <w:bidi w:val="0"/>
        <w:adjustRightInd/>
        <w:snapToGrid/>
        <w:spacing w:line="600" w:lineRule="exact"/>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highlight w:val="none"/>
        </w:rPr>
        <w:fldChar w:fldCharType="begin"/>
      </w:r>
      <w:r>
        <w:rPr>
          <w:rFonts w:hint="eastAsia" w:ascii="仿宋" w:hAnsi="仿宋" w:eastAsia="仿宋" w:cs="仿宋"/>
          <w:sz w:val="24"/>
          <w:szCs w:val="24"/>
          <w:highlight w:val="none"/>
        </w:rPr>
        <w:instrText xml:space="preserve"> HYPERLINK \l _Toc32314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第五部分 采购需求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_Toc32314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color w:val="000000" w:themeColor="text1"/>
          <w:sz w:val="24"/>
          <w:szCs w:val="24"/>
          <w:highlight w:val="none"/>
        </w:rPr>
        <w:fldChar w:fldCharType="end"/>
      </w:r>
    </w:p>
    <w:p>
      <w:pPr>
        <w:pStyle w:val="32"/>
        <w:keepNext w:val="0"/>
        <w:keepLines w:val="0"/>
        <w:pageBreakBefore w:val="0"/>
        <w:widowControl w:val="0"/>
        <w:tabs>
          <w:tab w:val="right" w:leader="dot" w:pos="9072"/>
        </w:tabs>
        <w:kinsoku/>
        <w:wordWrap/>
        <w:overflowPunct/>
        <w:topLinePunct w:val="0"/>
        <w:autoSpaceDE/>
        <w:autoSpaceDN/>
        <w:bidi w:val="0"/>
        <w:adjustRightInd/>
        <w:snapToGrid/>
        <w:spacing w:line="600" w:lineRule="exact"/>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highlight w:val="none"/>
        </w:rPr>
        <w:fldChar w:fldCharType="begin"/>
      </w:r>
      <w:r>
        <w:rPr>
          <w:rFonts w:hint="eastAsia" w:ascii="仿宋" w:hAnsi="仿宋" w:eastAsia="仿宋" w:cs="仿宋"/>
          <w:sz w:val="24"/>
          <w:szCs w:val="24"/>
          <w:highlight w:val="none"/>
        </w:rPr>
        <w:instrText xml:space="preserve"> HYPERLINK \l _Toc28335 </w:instrText>
      </w:r>
      <w:r>
        <w:rPr>
          <w:rFonts w:hint="eastAsia" w:ascii="仿宋" w:hAnsi="仿宋" w:eastAsia="仿宋" w:cs="仿宋"/>
          <w:sz w:val="24"/>
          <w:szCs w:val="24"/>
          <w:highlight w:val="none"/>
        </w:rPr>
        <w:fldChar w:fldCharType="separate"/>
      </w:r>
      <w:r>
        <w:rPr>
          <w:rFonts w:hint="eastAsia" w:ascii="仿宋" w:hAnsi="仿宋" w:eastAsia="仿宋" w:cs="仿宋"/>
          <w:kern w:val="2"/>
          <w:sz w:val="24"/>
          <w:szCs w:val="24"/>
          <w:highlight w:val="none"/>
        </w:rPr>
        <w:t>第六部分 商务及合同主要条款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_Toc28335 </w:instrText>
      </w:r>
      <w:r>
        <w:rPr>
          <w:rFonts w:hint="eastAsia" w:ascii="仿宋" w:hAnsi="仿宋" w:eastAsia="仿宋" w:cs="仿宋"/>
          <w:sz w:val="24"/>
          <w:szCs w:val="24"/>
        </w:rPr>
        <w:fldChar w:fldCharType="separate"/>
      </w:r>
      <w:r>
        <w:rPr>
          <w:rFonts w:hint="eastAsia" w:ascii="仿宋" w:hAnsi="仿宋" w:eastAsia="仿宋" w:cs="仿宋"/>
          <w:sz w:val="24"/>
          <w:szCs w:val="24"/>
        </w:rPr>
        <w:t>44</w:t>
      </w:r>
      <w:r>
        <w:rPr>
          <w:rFonts w:hint="eastAsia" w:ascii="仿宋" w:hAnsi="仿宋" w:eastAsia="仿宋" w:cs="仿宋"/>
          <w:sz w:val="24"/>
          <w:szCs w:val="24"/>
        </w:rPr>
        <w:fldChar w:fldCharType="end"/>
      </w:r>
      <w:r>
        <w:rPr>
          <w:rFonts w:hint="eastAsia" w:ascii="仿宋" w:hAnsi="仿宋" w:eastAsia="仿宋" w:cs="仿宋"/>
          <w:color w:val="000000" w:themeColor="text1"/>
          <w:sz w:val="24"/>
          <w:szCs w:val="24"/>
          <w:highlight w:val="none"/>
        </w:rPr>
        <w:fldChar w:fldCharType="end"/>
      </w:r>
    </w:p>
    <w:p>
      <w:pPr>
        <w:pStyle w:val="32"/>
        <w:keepNext w:val="0"/>
        <w:keepLines w:val="0"/>
        <w:pageBreakBefore w:val="0"/>
        <w:widowControl w:val="0"/>
        <w:tabs>
          <w:tab w:val="right" w:leader="dot" w:pos="9072"/>
        </w:tabs>
        <w:kinsoku/>
        <w:wordWrap/>
        <w:overflowPunct/>
        <w:topLinePunct w:val="0"/>
        <w:autoSpaceDE/>
        <w:autoSpaceDN/>
        <w:bidi w:val="0"/>
        <w:adjustRightInd/>
        <w:snapToGrid/>
        <w:spacing w:line="600" w:lineRule="exact"/>
        <w:textAlignment w:val="auto"/>
        <w:rPr>
          <w:rFonts w:hint="eastAsia" w:ascii="仿宋" w:hAnsi="仿宋" w:eastAsia="仿宋" w:cs="仿宋"/>
        </w:rPr>
      </w:pPr>
      <w:r>
        <w:rPr>
          <w:rFonts w:hint="eastAsia" w:ascii="仿宋" w:hAnsi="仿宋" w:eastAsia="仿宋" w:cs="仿宋"/>
          <w:color w:val="000000" w:themeColor="text1"/>
          <w:sz w:val="24"/>
          <w:szCs w:val="24"/>
          <w:highlight w:val="none"/>
        </w:rPr>
        <w:fldChar w:fldCharType="begin"/>
      </w:r>
      <w:r>
        <w:rPr>
          <w:rFonts w:hint="eastAsia" w:ascii="仿宋" w:hAnsi="仿宋" w:eastAsia="仿宋" w:cs="仿宋"/>
          <w:sz w:val="24"/>
          <w:szCs w:val="24"/>
          <w:highlight w:val="none"/>
        </w:rPr>
        <w:instrText xml:space="preserve"> HYPERLINK \l _Toc26738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eastAsia="zh-CN"/>
        </w:rPr>
        <w:t>第七部分</w:t>
      </w:r>
      <w:r>
        <w:rPr>
          <w:rFonts w:hint="eastAsia" w:ascii="仿宋" w:hAnsi="仿宋" w:eastAsia="仿宋" w:cs="仿宋"/>
          <w:sz w:val="24"/>
          <w:szCs w:val="24"/>
          <w:highlight w:val="none"/>
        </w:rPr>
        <w:t xml:space="preserve"> 附件—磋商响应文件格式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_Toc26738 </w:instrText>
      </w:r>
      <w:r>
        <w:rPr>
          <w:rFonts w:hint="eastAsia" w:ascii="仿宋" w:hAnsi="仿宋" w:eastAsia="仿宋" w:cs="仿宋"/>
          <w:sz w:val="24"/>
          <w:szCs w:val="24"/>
        </w:rPr>
        <w:fldChar w:fldCharType="separate"/>
      </w:r>
      <w:r>
        <w:rPr>
          <w:rFonts w:hint="eastAsia" w:ascii="仿宋" w:hAnsi="仿宋" w:eastAsia="仿宋" w:cs="仿宋"/>
          <w:sz w:val="24"/>
          <w:szCs w:val="24"/>
        </w:rPr>
        <w:t>48</w:t>
      </w:r>
      <w:r>
        <w:rPr>
          <w:rFonts w:hint="eastAsia" w:ascii="仿宋" w:hAnsi="仿宋" w:eastAsia="仿宋" w:cs="仿宋"/>
          <w:sz w:val="24"/>
          <w:szCs w:val="24"/>
        </w:rPr>
        <w:fldChar w:fldCharType="end"/>
      </w:r>
      <w:r>
        <w:rPr>
          <w:rFonts w:hint="eastAsia" w:ascii="仿宋" w:hAnsi="仿宋" w:eastAsia="仿宋" w:cs="仿宋"/>
          <w:color w:val="000000" w:themeColor="text1"/>
          <w:sz w:val="24"/>
          <w:szCs w:val="24"/>
          <w:highlight w:val="none"/>
        </w:rPr>
        <w:fldChar w:fldCharType="end"/>
      </w:r>
    </w:p>
    <w:p>
      <w:pPr>
        <w:pStyle w:val="37"/>
        <w:tabs>
          <w:tab w:val="right" w:leader="dot" w:pos="9072"/>
        </w:tabs>
        <w:rPr>
          <w:rFonts w:hint="eastAsia" w:ascii="仿宋" w:hAnsi="仿宋" w:eastAsia="仿宋" w:cs="仿宋"/>
        </w:rPr>
      </w:pPr>
    </w:p>
    <w:p>
      <w:pPr>
        <w:pStyle w:val="32"/>
        <w:tabs>
          <w:tab w:val="right" w:leader="dot" w:pos="8829"/>
        </w:tabs>
        <w:spacing w:line="60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Cs w:val="24"/>
          <w:highlight w:val="none"/>
        </w:rPr>
        <w:fldChar w:fldCharType="end"/>
      </w:r>
    </w:p>
    <w:p>
      <w:pPr>
        <w:jc w:val="center"/>
        <w:rPr>
          <w:rFonts w:hint="eastAsia" w:ascii="仿宋" w:hAnsi="仿宋" w:eastAsia="仿宋" w:cs="仿宋"/>
          <w:color w:val="000000" w:themeColor="text1"/>
          <w:sz w:val="36"/>
          <w:highlight w:val="none"/>
        </w:rPr>
      </w:pPr>
      <w:bookmarkStart w:id="0" w:name="_Toc246928891"/>
      <w:bookmarkStart w:id="1" w:name="_Toc193702467"/>
    </w:p>
    <w:p>
      <w:pPr>
        <w:numPr>
          <w:ilvl w:val="0"/>
          <w:numId w:val="11"/>
        </w:numPr>
        <w:spacing w:line="460" w:lineRule="exact"/>
        <w:jc w:val="center"/>
        <w:outlineLvl w:val="0"/>
        <w:rPr>
          <w:rFonts w:hint="eastAsia" w:ascii="仿宋" w:hAnsi="仿宋" w:eastAsia="仿宋" w:cs="仿宋"/>
          <w:b/>
          <w:color w:val="000000" w:themeColor="text1"/>
          <w:sz w:val="30"/>
          <w:szCs w:val="30"/>
          <w:highlight w:val="none"/>
        </w:rPr>
      </w:pPr>
      <w:r>
        <w:rPr>
          <w:rFonts w:hint="eastAsia" w:ascii="仿宋" w:hAnsi="仿宋" w:eastAsia="仿宋" w:cs="仿宋"/>
          <w:color w:val="000000" w:themeColor="text1"/>
          <w:sz w:val="36"/>
          <w:highlight w:val="none"/>
        </w:rPr>
        <w:br w:type="page"/>
      </w:r>
      <w:bookmarkEnd w:id="0"/>
      <w:bookmarkEnd w:id="1"/>
      <w:r>
        <w:rPr>
          <w:rFonts w:hint="eastAsia" w:ascii="仿宋" w:hAnsi="仿宋" w:eastAsia="仿宋" w:cs="仿宋"/>
          <w:b/>
          <w:color w:val="000000" w:themeColor="text1"/>
          <w:sz w:val="30"/>
          <w:szCs w:val="30"/>
          <w:highlight w:val="none"/>
        </w:rPr>
        <w:t xml:space="preserve"> </w:t>
      </w:r>
      <w:bookmarkStart w:id="2" w:name="_Toc17512"/>
      <w:r>
        <w:rPr>
          <w:rFonts w:hint="eastAsia" w:ascii="仿宋" w:hAnsi="仿宋" w:eastAsia="仿宋" w:cs="仿宋"/>
          <w:b/>
          <w:color w:val="000000" w:themeColor="text1"/>
          <w:sz w:val="30"/>
          <w:szCs w:val="30"/>
          <w:highlight w:val="none"/>
        </w:rPr>
        <w:t>竞争性磋商公告</w:t>
      </w:r>
      <w:bookmarkEnd w:id="2"/>
    </w:p>
    <w:p>
      <w:pPr>
        <w:spacing w:line="460" w:lineRule="exact"/>
        <w:outlineLvl w:val="0"/>
        <w:rPr>
          <w:rFonts w:hint="eastAsia" w:ascii="仿宋" w:hAnsi="仿宋" w:eastAsia="仿宋" w:cs="仿宋"/>
          <w:b/>
          <w:color w:val="000000" w:themeColor="text1"/>
          <w:sz w:val="30"/>
          <w:szCs w:val="30"/>
          <w:highlight w:val="none"/>
        </w:rPr>
      </w:pPr>
    </w:p>
    <w:p>
      <w:pPr>
        <w:pStyle w:val="41"/>
        <w:keepNext w:val="0"/>
        <w:keepLines w:val="0"/>
        <w:widowControl/>
        <w:suppressLineNumbers w:val="0"/>
        <w:spacing w:line="510" w:lineRule="atLeast"/>
        <w:ind w:left="0" w:firstLine="420"/>
        <w:rPr>
          <w:rFonts w:hint="eastAsia" w:ascii="仿宋" w:hAnsi="仿宋" w:eastAsia="仿宋" w:cs="仿宋"/>
        </w:rPr>
      </w:pPr>
      <w:bookmarkStart w:id="3" w:name="_Toc246928893"/>
      <w:r>
        <w:rPr>
          <w:rFonts w:hint="eastAsia" w:ascii="仿宋" w:hAnsi="仿宋" w:eastAsia="仿宋" w:cs="仿宋"/>
        </w:rPr>
        <w:t xml:space="preserve">正大鹏安建设项目管理有限公司受 陕西省汉中监狱 的委托，按照政府采购程序， 对陕西省汉中监狱无人机防御系统采购项目 采购项目进行竞争性磋商 采购，欢迎符合资格条件的、有能力提供本项目所需货物和服务的供应商参加投标。 </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一、采购项目名称：陕西省汉中监狱无人机防御系统采购项目</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二、采购项目编号：ZDZC2019103001</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三、采购人名称： 陕西省汉中监狱</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地址：陕西省汉中市汉台区老君镇</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联系人：陕西省汉中监狱</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电话：0916-2895011</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四、采购代理机构名称：正大鹏安建设项目管理有限公司</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地址：陕西省汉中市汉台区东一环路盛世国际商业广场2号写字楼11楼正大鹏安建设项目管理有限公司汉中分公司</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联系人：刘丹</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电话：15991968221</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传真：0916-2111569</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 xml:space="preserve">五、采购内容和需求： 陕西省汉中监狱无人机防御系统采购项目1套 </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项目概况： 通过无源雷达探测感知设备和光电跟踪设备，实现对设定区域内低空飞行物目标的发现跟踪、分析识别，并通过便携式电磁干扰手段，实现对危险目标的驱离、迫降。</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项目用途： 建立非法入侵低空飞行物预警防御系统。</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采购预算： 600000.00元</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六、投标供应商资格要求：</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（1）基本资格条件：符合《中华人民共和国政府采购法》第二十二条的规定；</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2）特定资格条件：1、具有独立承担民事责任能力的企业法人、事业法人或其他组织，提供三证合一的营业执照（事业单位须事业单位法人证、组织机构代码证等证明文件；其他组织或自然人应提供合法证明文件）； 2、供应商应授权合法的人员参加投标，其中法定代表人直接参加的，须出具法人身份证原件，并与营业执照上信息一致；授权代表参加的，须出具法定代表人授权委托书、被授权人身份证原件； 3、提供参加本次政府采购活动前三年内在经营活动中没有重大违法记录的书面声明及无不良信用记录查询结果（未被“信用中国”网站（www.creditchina.gov.cn）及“中国政府采购网”（http://www.ccgp.gov.cn/）列入失信被执行人、重大税收违法案件当事人名单、政府采购严重失信行为记录名单。（提供“信用中国”“重大税收违法案件信息公布栏”“中国政府采购”完整的查询结果截图加盖投标人公章）。 4、财务状况报告：提供2018年度的财务审计报告（至少包括资产负债表和利润表，成立时间至提交投标文件截止时间不足一年的可提供成立后任意时段的资产负债表），或其基本存款账户开户银行出具的资信证明及基本存款账户开户许可证； 5、税收缴纳证明：提供投标人2019年1月至今已缴纳任意一个月完税凭证或税务机关开具的完税证明（任意税种）；依法免税的应提供相关证明文件； 6、社会保障资金缴纳证明：提供投标人2019年1月至今已缴存的任意一个月的社会保障资金缴存单据或社保机构开具的社会保险参保缴费情况证明；依法不需要缴纳社会保障资金的应提供相关证明文件； 7、磋商保证金收据或磋商担保函；</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七、采购项目需要落实的政府采购政策</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依据《中华人民共和国政府采购法》和《中华人民共和国政府采购法实施条例》的有关规定，落实政府采购政策，详见竞争性磋商文件。 1、《政府采购促进中小企业发展暂行办法》（财库[2011]181号） 2、《财政部司法部关于政府采购支持监狱企业发展有关问题的通知》（财库〔2014〕68号） 3、《国务院办公厅关于建立政府强制采购节能产品制度的通知》（国办发〔2007)51号〕 4、《节能产品政府采购实施意见》（财库【2004】185号）； 5、《环境标志产品政府采购实施的意见》（财库[2006]90号） 6、 《财政部民政部中国残疾人联合会关于促进残疾人就业政府采购政策的通知》（财库〔2017〕141号） 7、《财政部 发展改革委 生态环境部 市场监管总局关于调整优化节能产品、环境标志产品政府采购执行机制的通知》（财库〔2019〕9号）</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八、磋商文件 发售时间、地点</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1、发售时间：2019-11-01 08:00:00至2019-11-07 17:30:00（双休日及法定节假日除外）</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2、发售地点：陕西省汉中市汉台区东一环路盛世国际商业广场2号写字楼11楼正大鹏安建设项目管理有限公司汉中分公司招标代理室</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3、文件售价：</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每套500.00元（人民币），售后不退</w:t>
      </w:r>
    </w:p>
    <w:p>
      <w:pPr>
        <w:pStyle w:val="41"/>
        <w:keepNext w:val="0"/>
        <w:keepLines w:val="0"/>
        <w:widowControl/>
        <w:suppressLineNumbers w:val="0"/>
        <w:spacing w:line="510" w:lineRule="atLeast"/>
        <w:ind w:left="0" w:firstLine="420"/>
        <w:rPr>
          <w:rFonts w:hint="eastAsia" w:ascii="仿宋" w:hAnsi="仿宋" w:eastAsia="仿宋" w:cs="仿宋"/>
        </w:rPr>
      </w:pPr>
      <w:r>
        <w:rPr>
          <w:rStyle w:val="50"/>
          <w:rFonts w:hint="eastAsia" w:ascii="仿宋" w:hAnsi="仿宋" w:eastAsia="仿宋" w:cs="仿宋"/>
        </w:rPr>
        <w:t>注：注：购买竞争性磋商文件时须携带单位介绍信、经办人的身份证原件及加盖公章的复印件一份。</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九、磋商文件 递交截止时间及开标时间和地点</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1、文件递交截止时间：2019-11-15 14:00:00</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2、投标地点：陕西省汉中市汉台区东一环路盛世国际商业广场2号写字楼11楼正大鹏安建设项目管理有限公司汉中分公司会议室</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3、开标时间：2019-11-15 14:00:00</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4、开标地点：陕西省汉中市汉台区东一环路盛世国际商业广场2号写字楼11楼正大鹏安建设项目管理有限公司汉中分公司会议室</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十、其他应说明的事项</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1、采购代理机构联系方式：15991968221</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2、开户名称：正大鹏安建设项目管理有限公司</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3、开户银行：中国建设银行西安金花路支行</w:t>
      </w:r>
    </w:p>
    <w:p>
      <w:pPr>
        <w:pStyle w:val="41"/>
        <w:keepNext w:val="0"/>
        <w:keepLines w:val="0"/>
        <w:widowControl/>
        <w:suppressLineNumbers w:val="0"/>
        <w:spacing w:line="510" w:lineRule="atLeast"/>
        <w:ind w:left="0" w:firstLine="420"/>
        <w:rPr>
          <w:rFonts w:hint="eastAsia" w:ascii="仿宋" w:hAnsi="仿宋" w:eastAsia="仿宋" w:cs="仿宋"/>
        </w:rPr>
      </w:pPr>
      <w:r>
        <w:rPr>
          <w:rFonts w:hint="eastAsia" w:ascii="仿宋" w:hAnsi="仿宋" w:eastAsia="仿宋" w:cs="仿宋"/>
        </w:rPr>
        <w:t>4、账 号：61050186540000000221-0005</w:t>
      </w:r>
    </w:p>
    <w:p>
      <w:pPr>
        <w:pStyle w:val="315"/>
        <w:keepNext w:val="0"/>
        <w:keepLines w:val="0"/>
        <w:widowControl/>
        <w:suppressLineNumbers w:val="0"/>
        <w:rPr>
          <w:rFonts w:hint="eastAsia" w:ascii="仿宋" w:hAnsi="仿宋" w:eastAsia="仿宋" w:cs="仿宋"/>
        </w:rPr>
      </w:pPr>
      <w:r>
        <w:rPr>
          <w:rFonts w:hint="eastAsia" w:ascii="仿宋" w:hAnsi="仿宋" w:eastAsia="仿宋" w:cs="仿宋"/>
        </w:rPr>
        <w:t>十一、本竞争性磋商公告期限为自发布之日起3个工作日。</w:t>
      </w:r>
    </w:p>
    <w:p>
      <w:pPr>
        <w:numPr>
          <w:ilvl w:val="0"/>
          <w:numId w:val="11"/>
        </w:numPr>
        <w:jc w:val="center"/>
        <w:outlineLvl w:val="0"/>
        <w:rPr>
          <w:rFonts w:hint="eastAsia" w:ascii="仿宋" w:hAnsi="仿宋" w:eastAsia="仿宋" w:cs="仿宋"/>
          <w:b/>
          <w:color w:val="000000" w:themeColor="text1"/>
          <w:sz w:val="30"/>
          <w:szCs w:val="30"/>
          <w:highlight w:val="none"/>
        </w:rPr>
      </w:pPr>
      <w:r>
        <w:rPr>
          <w:rFonts w:hint="eastAsia" w:ascii="仿宋" w:hAnsi="仿宋" w:eastAsia="仿宋" w:cs="仿宋"/>
          <w:color w:val="000000" w:themeColor="text1"/>
          <w:highlight w:val="none"/>
        </w:rPr>
        <w:br w:type="page"/>
      </w:r>
      <w:r>
        <w:rPr>
          <w:rFonts w:hint="eastAsia" w:ascii="仿宋" w:hAnsi="仿宋" w:eastAsia="仿宋" w:cs="仿宋"/>
          <w:b/>
          <w:color w:val="000000" w:themeColor="text1"/>
          <w:sz w:val="30"/>
          <w:szCs w:val="30"/>
          <w:highlight w:val="none"/>
        </w:rPr>
        <w:t xml:space="preserve"> </w:t>
      </w:r>
      <w:bookmarkStart w:id="4" w:name="_Toc31650"/>
      <w:r>
        <w:rPr>
          <w:rFonts w:hint="eastAsia" w:ascii="仿宋" w:hAnsi="仿宋" w:eastAsia="仿宋" w:cs="仿宋"/>
          <w:b/>
          <w:color w:val="000000" w:themeColor="text1"/>
          <w:sz w:val="30"/>
          <w:szCs w:val="30"/>
          <w:highlight w:val="none"/>
        </w:rPr>
        <w:t>供应商须知前附表</w:t>
      </w:r>
      <w:bookmarkEnd w:id="3"/>
      <w:bookmarkEnd w:id="4"/>
    </w:p>
    <w:p>
      <w:pPr>
        <w:pStyle w:val="6"/>
        <w:rPr>
          <w:rFonts w:hint="eastAsia" w:ascii="仿宋" w:hAnsi="仿宋" w:eastAsia="仿宋" w:cs="仿宋"/>
          <w:color w:val="000000" w:themeColor="text1"/>
          <w:highlight w:val="none"/>
        </w:rPr>
      </w:pPr>
    </w:p>
    <w:tbl>
      <w:tblPr>
        <w:tblStyle w:val="47"/>
        <w:tblW w:w="8653" w:type="dxa"/>
        <w:tblInd w:w="266"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767"/>
        <w:gridCol w:w="1882"/>
        <w:gridCol w:w="6004"/>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序号</w:t>
            </w:r>
          </w:p>
        </w:tc>
        <w:tc>
          <w:tcPr>
            <w:tcW w:w="1882" w:type="dxa"/>
            <w:tcBorders>
              <w:tl2br w:val="nil"/>
              <w:tr2bl w:val="nil"/>
            </w:tcBorders>
            <w:shd w:val="clear" w:color="auto" w:fill="auto"/>
            <w:vAlign w:val="center"/>
          </w:tcPr>
          <w:p>
            <w:pPr>
              <w:spacing w:line="400" w:lineRule="exact"/>
              <w:jc w:val="center"/>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条款名称</w:t>
            </w:r>
          </w:p>
        </w:tc>
        <w:tc>
          <w:tcPr>
            <w:tcW w:w="6004" w:type="dxa"/>
            <w:tcBorders>
              <w:tl2br w:val="nil"/>
              <w:tr2bl w:val="nil"/>
            </w:tcBorders>
            <w:shd w:val="clear" w:color="auto" w:fill="auto"/>
            <w:vAlign w:val="center"/>
          </w:tcPr>
          <w:p>
            <w:pPr>
              <w:spacing w:line="400" w:lineRule="exact"/>
              <w:jc w:val="center"/>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具体信息</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w:t>
            </w:r>
          </w:p>
        </w:tc>
        <w:tc>
          <w:tcPr>
            <w:tcW w:w="1882" w:type="dxa"/>
            <w:tcBorders>
              <w:tl2br w:val="nil"/>
              <w:tr2bl w:val="nil"/>
            </w:tcBorders>
            <w:shd w:val="clear" w:color="auto" w:fill="auto"/>
            <w:vAlign w:val="center"/>
          </w:tcPr>
          <w:p>
            <w:pPr>
              <w:jc w:val="center"/>
              <w:rPr>
                <w:rFonts w:hint="eastAsia" w:ascii="仿宋" w:hAnsi="仿宋" w:eastAsia="仿宋" w:cs="仿宋"/>
                <w:b/>
                <w:color w:val="000000" w:themeColor="text1"/>
                <w:szCs w:val="21"/>
                <w:highlight w:val="none"/>
              </w:rPr>
            </w:pPr>
            <w:r>
              <w:rPr>
                <w:rFonts w:hint="eastAsia" w:ascii="仿宋" w:hAnsi="仿宋" w:eastAsia="仿宋" w:cs="仿宋"/>
                <w:color w:val="000000" w:themeColor="text1"/>
                <w:szCs w:val="21"/>
                <w:highlight w:val="none"/>
              </w:rPr>
              <w:t>采购人</w:t>
            </w:r>
          </w:p>
        </w:tc>
        <w:tc>
          <w:tcPr>
            <w:tcW w:w="6004" w:type="dxa"/>
            <w:tcBorders>
              <w:tl2br w:val="nil"/>
              <w:tr2bl w:val="nil"/>
            </w:tcBorders>
            <w:shd w:val="clear" w:color="auto" w:fill="auto"/>
            <w:vAlign w:val="center"/>
          </w:tcPr>
          <w:p>
            <w:pPr>
              <w:rPr>
                <w:rFonts w:hint="eastAsia" w:ascii="仿宋" w:hAnsi="仿宋" w:eastAsia="仿宋" w:cs="仿宋"/>
                <w:color w:val="000000" w:themeColor="text1"/>
                <w:szCs w:val="21"/>
                <w:highlight w:val="none"/>
                <w:lang w:eastAsia="zh-CN"/>
              </w:rPr>
            </w:pPr>
            <w:r>
              <w:rPr>
                <w:rFonts w:hint="eastAsia" w:ascii="仿宋" w:hAnsi="仿宋" w:eastAsia="仿宋" w:cs="仿宋"/>
                <w:color w:val="000000" w:themeColor="text1"/>
                <w:szCs w:val="21"/>
                <w:highlight w:val="none"/>
                <w:lang w:eastAsia="zh-CN"/>
              </w:rPr>
              <w:t>陕西省汉中监狱</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w:t>
            </w:r>
          </w:p>
        </w:tc>
        <w:tc>
          <w:tcPr>
            <w:tcW w:w="1882"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采购代理机构</w:t>
            </w:r>
          </w:p>
        </w:tc>
        <w:tc>
          <w:tcPr>
            <w:tcW w:w="6004" w:type="dxa"/>
            <w:tcBorders>
              <w:tl2br w:val="nil"/>
              <w:tr2bl w:val="nil"/>
            </w:tcBorders>
            <w:shd w:val="clear" w:color="auto" w:fill="auto"/>
            <w:vAlign w:val="center"/>
          </w:tcPr>
          <w:p>
            <w:pPr>
              <w:rPr>
                <w:rFonts w:hint="eastAsia" w:ascii="仿宋" w:hAnsi="仿宋" w:eastAsia="仿宋" w:cs="仿宋"/>
                <w:color w:val="000000" w:themeColor="text1"/>
                <w:szCs w:val="21"/>
                <w:highlight w:val="none"/>
                <w:lang w:eastAsia="zh-CN"/>
              </w:rPr>
            </w:pPr>
            <w:r>
              <w:rPr>
                <w:rFonts w:hint="eastAsia" w:ascii="仿宋" w:hAnsi="仿宋" w:eastAsia="仿宋" w:cs="仿宋"/>
                <w:color w:val="000000" w:themeColor="text1"/>
                <w:szCs w:val="21"/>
                <w:highlight w:val="none"/>
                <w:lang w:eastAsia="zh-CN"/>
              </w:rPr>
              <w:t>正大鹏安建设项目管理有限公司</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w:t>
            </w:r>
          </w:p>
        </w:tc>
        <w:tc>
          <w:tcPr>
            <w:tcW w:w="1882"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采购项目名称</w:t>
            </w:r>
          </w:p>
        </w:tc>
        <w:tc>
          <w:tcPr>
            <w:tcW w:w="6004" w:type="dxa"/>
            <w:tcBorders>
              <w:tl2br w:val="nil"/>
              <w:tr2bl w:val="nil"/>
            </w:tcBorders>
            <w:shd w:val="clear" w:color="auto" w:fill="auto"/>
            <w:vAlign w:val="center"/>
          </w:tcPr>
          <w:p>
            <w:pP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lang w:eastAsia="zh-CN"/>
              </w:rPr>
              <w:t>陕西省汉中监狱无人机防御系统采购项目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4</w:t>
            </w:r>
          </w:p>
        </w:tc>
        <w:tc>
          <w:tcPr>
            <w:tcW w:w="1882"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采购项目编号</w:t>
            </w:r>
          </w:p>
        </w:tc>
        <w:tc>
          <w:tcPr>
            <w:tcW w:w="6004" w:type="dxa"/>
            <w:tcBorders>
              <w:tl2br w:val="nil"/>
              <w:tr2bl w:val="nil"/>
            </w:tcBorders>
            <w:shd w:val="clear" w:color="auto" w:fill="auto"/>
            <w:vAlign w:val="center"/>
          </w:tcPr>
          <w:p>
            <w:pP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ZDZC2019103001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5</w:t>
            </w:r>
          </w:p>
        </w:tc>
        <w:tc>
          <w:tcPr>
            <w:tcW w:w="1882"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采购预算</w:t>
            </w:r>
          </w:p>
        </w:tc>
        <w:tc>
          <w:tcPr>
            <w:tcW w:w="6004" w:type="dxa"/>
            <w:tcBorders>
              <w:tl2br w:val="nil"/>
              <w:tr2bl w:val="nil"/>
            </w:tcBorders>
            <w:shd w:val="clear" w:color="auto" w:fill="auto"/>
            <w:vAlign w:val="center"/>
          </w:tcPr>
          <w:p>
            <w:pPr>
              <w:rPr>
                <w:rFonts w:hint="default" w:ascii="仿宋" w:hAnsi="仿宋" w:eastAsia="仿宋" w:cs="仿宋"/>
                <w:color w:val="000000" w:themeColor="text1"/>
                <w:szCs w:val="21"/>
                <w:highlight w:val="none"/>
                <w:lang w:val="en-US" w:eastAsia="zh-CN"/>
              </w:rPr>
            </w:pPr>
            <w:r>
              <w:rPr>
                <w:rFonts w:hint="eastAsia" w:ascii="仿宋" w:hAnsi="仿宋" w:eastAsia="仿宋" w:cs="仿宋"/>
                <w:color w:val="000000" w:themeColor="text1"/>
                <w:szCs w:val="21"/>
                <w:highlight w:val="none"/>
                <w:lang w:eastAsia="zh-CN"/>
              </w:rPr>
              <w:t>陆拾万元整（</w:t>
            </w:r>
            <w:r>
              <w:rPr>
                <w:rFonts w:hint="eastAsia" w:ascii="仿宋" w:hAnsi="仿宋" w:eastAsia="仿宋" w:cs="仿宋"/>
                <w:color w:val="000000" w:themeColor="text1"/>
                <w:szCs w:val="21"/>
                <w:highlight w:val="none"/>
                <w:lang w:val="en-US" w:eastAsia="zh-CN"/>
              </w:rPr>
              <w:t>600,000.00元）</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6</w:t>
            </w:r>
          </w:p>
        </w:tc>
        <w:tc>
          <w:tcPr>
            <w:tcW w:w="1882"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采购项目用途</w:t>
            </w:r>
          </w:p>
        </w:tc>
        <w:tc>
          <w:tcPr>
            <w:tcW w:w="6004" w:type="dxa"/>
            <w:tcBorders>
              <w:tl2br w:val="nil"/>
              <w:tr2bl w:val="nil"/>
            </w:tcBorders>
            <w:shd w:val="clear" w:color="auto" w:fill="auto"/>
            <w:vAlign w:val="center"/>
          </w:tcPr>
          <w:p>
            <w:pP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自用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7</w:t>
            </w:r>
          </w:p>
        </w:tc>
        <w:tc>
          <w:tcPr>
            <w:tcW w:w="1882"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采购方式</w:t>
            </w:r>
          </w:p>
        </w:tc>
        <w:tc>
          <w:tcPr>
            <w:tcW w:w="6004" w:type="dxa"/>
            <w:tcBorders>
              <w:tl2br w:val="nil"/>
              <w:tr2bl w:val="nil"/>
            </w:tcBorders>
            <w:shd w:val="clear" w:color="auto" w:fill="auto"/>
            <w:vAlign w:val="center"/>
          </w:tcPr>
          <w:p>
            <w:pP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竞争性磋商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8</w:t>
            </w:r>
          </w:p>
        </w:tc>
        <w:tc>
          <w:tcPr>
            <w:tcW w:w="1882" w:type="dxa"/>
            <w:tcBorders>
              <w:tl2br w:val="nil"/>
              <w:tr2bl w:val="nil"/>
            </w:tcBorders>
            <w:shd w:val="clear" w:color="auto" w:fill="auto"/>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采购内容</w:t>
            </w:r>
          </w:p>
        </w:tc>
        <w:tc>
          <w:tcPr>
            <w:tcW w:w="6004" w:type="dxa"/>
            <w:tcBorders>
              <w:tl2br w:val="nil"/>
              <w:tr2bl w:val="nil"/>
            </w:tcBorders>
            <w:shd w:val="clear" w:color="auto" w:fill="auto"/>
            <w:vAlign w:val="center"/>
          </w:tcPr>
          <w:p>
            <w:pP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lang w:eastAsia="zh-CN"/>
              </w:rPr>
              <w:t>无人机防御系统采购</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34" w:hRule="atLeast"/>
        </w:trPr>
        <w:tc>
          <w:tcPr>
            <w:tcW w:w="767"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9</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lang w:eastAsia="zh-CN"/>
              </w:rPr>
              <w:t>交货</w:t>
            </w:r>
            <w:r>
              <w:rPr>
                <w:rFonts w:hint="eastAsia" w:ascii="仿宋" w:hAnsi="仿宋" w:eastAsia="仿宋" w:cs="仿宋"/>
                <w:color w:val="000000" w:themeColor="text1"/>
                <w:szCs w:val="21"/>
                <w:highlight w:val="none"/>
              </w:rPr>
              <w:t>期限、交货地点</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lang w:eastAsia="zh-CN"/>
              </w:rPr>
              <w:t>交货</w:t>
            </w:r>
            <w:r>
              <w:rPr>
                <w:rFonts w:hint="eastAsia" w:ascii="仿宋" w:hAnsi="仿宋" w:eastAsia="仿宋" w:cs="仿宋"/>
                <w:color w:val="000000" w:themeColor="text1"/>
                <w:szCs w:val="21"/>
                <w:highlight w:val="none"/>
              </w:rPr>
              <w:t>期限：</w:t>
            </w:r>
            <w:r>
              <w:rPr>
                <w:rFonts w:hint="eastAsia" w:ascii="仿宋" w:hAnsi="仿宋" w:eastAsia="仿宋" w:cs="仿宋"/>
                <w:color w:val="000000" w:themeColor="text1"/>
                <w:szCs w:val="21"/>
                <w:highlight w:val="none"/>
                <w:u w:val="single"/>
                <w:lang w:val="en-US"/>
              </w:rPr>
              <w:t>10</w:t>
            </w:r>
            <w:r>
              <w:rPr>
                <w:rFonts w:hint="eastAsia" w:ascii="仿宋" w:hAnsi="仿宋" w:eastAsia="仿宋" w:cs="仿宋"/>
                <w:color w:val="000000" w:themeColor="text1"/>
                <w:szCs w:val="21"/>
                <w:highlight w:val="none"/>
                <w:u w:val="single"/>
              </w:rPr>
              <w:t>个工作</w:t>
            </w:r>
            <w:r>
              <w:rPr>
                <w:rFonts w:hint="eastAsia" w:ascii="仿宋" w:hAnsi="仿宋" w:eastAsia="仿宋" w:cs="仿宋"/>
                <w:color w:val="000000" w:themeColor="text1"/>
                <w:szCs w:val="21"/>
                <w:highlight w:val="none"/>
              </w:rPr>
              <w:t>日</w:t>
            </w:r>
          </w:p>
          <w:p>
            <w:pPr>
              <w:spacing w:line="320" w:lineRule="exact"/>
              <w:rPr>
                <w:rFonts w:hint="eastAsia" w:ascii="仿宋" w:hAnsi="仿宋" w:eastAsia="仿宋" w:cs="仿宋"/>
                <w:color w:val="000000" w:themeColor="text1"/>
                <w:szCs w:val="21"/>
                <w:highlight w:val="none"/>
                <w:lang w:eastAsia="zh-CN"/>
              </w:rPr>
            </w:pPr>
            <w:r>
              <w:rPr>
                <w:rFonts w:hint="eastAsia" w:ascii="仿宋" w:hAnsi="仿宋" w:eastAsia="仿宋" w:cs="仿宋"/>
                <w:color w:val="000000" w:themeColor="text1"/>
                <w:szCs w:val="21"/>
                <w:highlight w:val="none"/>
              </w:rPr>
              <w:t>交货地点：陕西省汉中市</w:t>
            </w:r>
            <w:r>
              <w:rPr>
                <w:rFonts w:hint="eastAsia" w:ascii="仿宋" w:hAnsi="仿宋" w:eastAsia="仿宋" w:cs="仿宋"/>
                <w:color w:val="000000" w:themeColor="text1"/>
                <w:szCs w:val="21"/>
                <w:highlight w:val="none"/>
                <w:lang w:eastAsia="zh-CN"/>
              </w:rPr>
              <w:t>汉台区老君镇汉中监狱</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99" w:hRule="atLeast"/>
        </w:trPr>
        <w:tc>
          <w:tcPr>
            <w:tcW w:w="767"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10</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质量要求及验收</w:t>
            </w:r>
          </w:p>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标准</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质量要求：达到国家现行技术标准。</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验收标准：国家标准、行业标准、企业标准。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11</w:t>
            </w:r>
          </w:p>
        </w:tc>
        <w:tc>
          <w:tcPr>
            <w:tcW w:w="1882"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资格证明文件</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磋商现场，供应商的法定代表人或其授权人应当参加磋商，并</w:t>
            </w:r>
            <w:r>
              <w:rPr>
                <w:rFonts w:hint="eastAsia" w:ascii="仿宋" w:hAnsi="仿宋" w:eastAsia="仿宋" w:cs="仿宋"/>
                <w:color w:val="000000" w:themeColor="text1"/>
                <w:szCs w:val="21"/>
                <w:highlight w:val="none"/>
                <w:lang w:eastAsia="zh-CN"/>
              </w:rPr>
              <w:t>将</w:t>
            </w:r>
            <w:r>
              <w:rPr>
                <w:rFonts w:hint="eastAsia" w:ascii="仿宋" w:hAnsi="仿宋" w:eastAsia="仿宋" w:cs="仿宋"/>
                <w:color w:val="000000" w:themeColor="text1"/>
                <w:szCs w:val="21"/>
                <w:highlight w:val="none"/>
              </w:rPr>
              <w:t>以下证件原件</w:t>
            </w:r>
            <w:r>
              <w:rPr>
                <w:rFonts w:hint="eastAsia" w:ascii="仿宋" w:hAnsi="仿宋" w:eastAsia="仿宋" w:cs="仿宋"/>
                <w:color w:val="000000" w:themeColor="text1"/>
                <w:szCs w:val="21"/>
                <w:highlight w:val="none"/>
                <w:lang w:eastAsia="zh-CN"/>
              </w:rPr>
              <w:t>装入一个档案袋内，无须密封。</w:t>
            </w:r>
            <w:r>
              <w:rPr>
                <w:rFonts w:hint="eastAsia" w:ascii="仿宋" w:hAnsi="仿宋" w:eastAsia="仿宋" w:cs="仿宋"/>
                <w:color w:val="000000" w:themeColor="text1"/>
                <w:szCs w:val="21"/>
                <w:highlight w:val="none"/>
              </w:rPr>
              <w:t>随身携带以备资格审查：</w:t>
            </w:r>
          </w:p>
          <w:p>
            <w:pPr>
              <w:numPr>
                <w:ilvl w:val="0"/>
                <w:numId w:val="12"/>
              </w:numPr>
              <w:spacing w:line="320" w:lineRule="exact"/>
              <w:jc w:val="left"/>
              <w:rPr>
                <w:rFonts w:hint="eastAsia" w:ascii="仿宋" w:hAnsi="仿宋" w:eastAsia="仿宋" w:cs="仿宋"/>
                <w:color w:val="000000" w:themeColor="text1"/>
                <w:szCs w:val="21"/>
                <w:highlight w:val="none"/>
                <w:shd w:val="clear" w:color="auto" w:fill="FFFFFF"/>
              </w:rPr>
            </w:pPr>
            <w:r>
              <w:rPr>
                <w:rFonts w:hint="eastAsia" w:ascii="仿宋" w:hAnsi="仿宋" w:eastAsia="仿宋" w:cs="仿宋"/>
                <w:color w:val="000000" w:themeColor="text1"/>
                <w:szCs w:val="21"/>
                <w:highlight w:val="none"/>
                <w:shd w:val="clear" w:color="auto" w:fill="FFFFFF"/>
              </w:rPr>
              <w:t>具有独立承担民事责任能力的企业法人、事业法人或其他组织，提供三证合一的营业执照（事业单位须事业单位法人证、组织机构代码证等证明文件；其他组织</w:t>
            </w:r>
            <w:r>
              <w:rPr>
                <w:rFonts w:hint="eastAsia" w:ascii="仿宋" w:hAnsi="仿宋" w:eastAsia="仿宋" w:cs="仿宋"/>
                <w:color w:val="000000" w:themeColor="text1"/>
                <w:szCs w:val="21"/>
                <w:highlight w:val="none"/>
                <w:shd w:val="clear" w:color="auto" w:fill="FFFFFF"/>
                <w:lang w:eastAsia="zh-CN"/>
              </w:rPr>
              <w:t>或自然人</w:t>
            </w:r>
            <w:r>
              <w:rPr>
                <w:rFonts w:hint="eastAsia" w:ascii="仿宋" w:hAnsi="仿宋" w:eastAsia="仿宋" w:cs="仿宋"/>
                <w:color w:val="000000" w:themeColor="text1"/>
                <w:szCs w:val="21"/>
                <w:highlight w:val="none"/>
                <w:shd w:val="clear" w:color="auto" w:fill="FFFFFF"/>
              </w:rPr>
              <w:t>应提供合法证明文件）</w:t>
            </w:r>
            <w:r>
              <w:rPr>
                <w:rFonts w:hint="eastAsia" w:ascii="仿宋" w:hAnsi="仿宋" w:eastAsia="仿宋" w:cs="仿宋"/>
                <w:color w:val="000000" w:themeColor="text1"/>
                <w:szCs w:val="21"/>
                <w:highlight w:val="none"/>
              </w:rPr>
              <w:t>；</w:t>
            </w:r>
          </w:p>
          <w:p>
            <w:pPr>
              <w:numPr>
                <w:ilvl w:val="0"/>
                <w:numId w:val="12"/>
              </w:numPr>
              <w:spacing w:line="320" w:lineRule="exact"/>
              <w:jc w:val="left"/>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shd w:val="clear" w:color="auto" w:fill="FFFFFF"/>
              </w:rPr>
              <w:t>供应商应授权合法的人员参加投标，其中法定代表人直接参加的，须出具法人身份证原件，并与营业执照上信息一致；授权代表参加的，须出具法定代表人授权委托书、被授权人身份证原件；</w:t>
            </w:r>
          </w:p>
          <w:p>
            <w:pPr>
              <w:numPr>
                <w:ilvl w:val="0"/>
                <w:numId w:val="12"/>
              </w:numPr>
              <w:spacing w:line="320" w:lineRule="exact"/>
              <w:jc w:val="lef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提供参加本次政府采购活动前三年内在经营活动中没有重大违法记录的书面声明及无不良信用记录查询结果（未被“信用中国”网站（www.creditchina.gov.cn）及“中国政府采购网”（http://www.ccgp.gov.cn/）列入失信被执行人、重大税收违法案件当事人名单、政府采购严重失信行为记录名单。（提供“信用中国”“重大税收违法案件信息公布栏”“中国政府采购”完整的查询结果截图加盖投标人公章）。</w:t>
            </w:r>
          </w:p>
          <w:p>
            <w:pPr>
              <w:numPr>
                <w:ilvl w:val="0"/>
                <w:numId w:val="12"/>
              </w:numPr>
              <w:spacing w:line="320" w:lineRule="exact"/>
              <w:jc w:val="lef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财务状况报告：提供2018年度的财务审计报告（至少包括资产负债表和利润表，成立时间至提交投标文件截止时间不足一年的可提供成立后任意时段的资产负债表），或其基本存款账户开户银行出具的资信证明及基本存款账户开户许可证（新成立公司，可不提供）；</w:t>
            </w:r>
          </w:p>
          <w:p>
            <w:pPr>
              <w:numPr>
                <w:ilvl w:val="0"/>
                <w:numId w:val="12"/>
              </w:numPr>
              <w:spacing w:line="320" w:lineRule="exact"/>
              <w:jc w:val="lef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 xml:space="preserve">税收缴纳证明：提供投标人2019年1月至今已缴纳任意一个月完税凭证或税务机关开具的完税证明（任意税种）；依法免税的应提供相关证明文件； </w:t>
            </w:r>
          </w:p>
          <w:p>
            <w:pPr>
              <w:numPr>
                <w:ilvl w:val="0"/>
                <w:numId w:val="12"/>
              </w:numPr>
              <w:spacing w:line="320" w:lineRule="exact"/>
              <w:jc w:val="lef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社会保障资金缴纳证明：提供投标人2019年1月至今已缴存的任意一个月的社会保障资金缴存单据或社保机构开具的社会保险参保缴费情况证明；依法不需要缴纳社会保障资金的应提供相关证明文件；</w:t>
            </w:r>
          </w:p>
          <w:p>
            <w:pPr>
              <w:numPr>
                <w:ilvl w:val="0"/>
                <w:numId w:val="12"/>
              </w:numPr>
              <w:spacing w:line="320" w:lineRule="exact"/>
              <w:jc w:val="lef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磋商保证金收据或磋商担保函；</w:t>
            </w:r>
          </w:p>
          <w:p>
            <w:pPr>
              <w:spacing w:line="320" w:lineRule="exact"/>
              <w:ind w:firstLine="422" w:firstLineChars="200"/>
              <w:jc w:val="left"/>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注：上述资格证明文件为必备资质，欠缺其中任何一项或某项达不到要求，按无效磋商响应文件处理；</w:t>
            </w:r>
            <w:r>
              <w:rPr>
                <w:rFonts w:hint="eastAsia" w:ascii="仿宋" w:hAnsi="仿宋" w:eastAsia="仿宋" w:cs="仿宋"/>
                <w:color w:val="000000" w:themeColor="text1"/>
                <w:szCs w:val="21"/>
                <w:highlight w:val="none"/>
              </w:rPr>
              <w:t>根据财政部关于在政府采购活动中查询及使用信用记录有关问题的通知-财库[2016]125号要求：采购人或者采购代理机构应当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75"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12</w:t>
            </w:r>
          </w:p>
        </w:tc>
        <w:tc>
          <w:tcPr>
            <w:tcW w:w="1882" w:type="dxa"/>
            <w:tcBorders>
              <w:tl2br w:val="nil"/>
              <w:tr2bl w:val="nil"/>
            </w:tcBorders>
            <w:shd w:val="clear" w:color="auto" w:fill="auto"/>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是否接受联合体磋商</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不接受。</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13</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现场踏勘及答疑</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snapToGrid w:val="0"/>
                <w:color w:val="000000" w:themeColor="text1"/>
                <w:szCs w:val="21"/>
                <w:highlight w:val="none"/>
              </w:rPr>
              <w:t>不组织。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3"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14</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质疑</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依据政府采购相关法律法规，供应商有异议应遵循以下要求：</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1、对可以质疑的采购文件提出质疑的，为收到采购文件之日或者采购文件公告期限届满之日；</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2、对采购过程提出质疑的，为各采购程序环节结束之日；</w:t>
            </w:r>
            <w:r>
              <w:rPr>
                <w:rFonts w:hint="eastAsia" w:ascii="仿宋" w:hAnsi="仿宋" w:eastAsia="仿宋" w:cs="仿宋"/>
                <w:color w:val="000000" w:themeColor="text1"/>
                <w:szCs w:val="21"/>
                <w:highlight w:val="none"/>
              </w:rPr>
              <w:br w:type="textWrapping"/>
            </w:r>
            <w:r>
              <w:rPr>
                <w:rFonts w:hint="eastAsia" w:ascii="仿宋" w:hAnsi="仿宋" w:eastAsia="仿宋" w:cs="仿宋"/>
                <w:color w:val="000000" w:themeColor="text1"/>
                <w:szCs w:val="21"/>
                <w:highlight w:val="none"/>
              </w:rPr>
              <w:t>3、对中标或者成交结果提出质疑的，为中标或者成交结果公告期限届满之日。</w:t>
            </w:r>
          </w:p>
          <w:p>
            <w:pPr>
              <w:spacing w:line="320" w:lineRule="exact"/>
              <w:rPr>
                <w:rFonts w:hint="eastAsia" w:ascii="仿宋" w:hAnsi="仿宋" w:eastAsia="仿宋" w:cs="仿宋"/>
                <w:snapToGrid w:val="0"/>
                <w:color w:val="000000" w:themeColor="text1"/>
                <w:szCs w:val="21"/>
                <w:highlight w:val="none"/>
              </w:rPr>
            </w:pPr>
            <w:r>
              <w:rPr>
                <w:rFonts w:hint="eastAsia" w:ascii="仿宋" w:hAnsi="仿宋" w:eastAsia="仿宋" w:cs="仿宋"/>
                <w:color w:val="000000" w:themeColor="text1"/>
                <w:szCs w:val="21"/>
                <w:highlight w:val="none"/>
              </w:rPr>
              <w:t>4、供应商质疑、投诉应当有明确的请求和必要的证明材料。供应商投诉的事项不得超出已质疑事项的范围。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3"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15</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采购代理机构答疑的时间</w:t>
            </w:r>
          </w:p>
        </w:tc>
        <w:tc>
          <w:tcPr>
            <w:tcW w:w="6004" w:type="dxa"/>
            <w:tcBorders>
              <w:tl2br w:val="nil"/>
              <w:tr2bl w:val="nil"/>
            </w:tcBorders>
            <w:shd w:val="clear" w:color="auto" w:fill="auto"/>
            <w:vAlign w:val="center"/>
          </w:tcPr>
          <w:p>
            <w:pPr>
              <w:spacing w:line="320" w:lineRule="exact"/>
              <w:rPr>
                <w:rFonts w:hint="eastAsia" w:ascii="仿宋" w:hAnsi="仿宋" w:eastAsia="仿宋" w:cs="仿宋"/>
                <w:snapToGrid w:val="0"/>
                <w:color w:val="000000" w:themeColor="text1"/>
                <w:szCs w:val="21"/>
                <w:highlight w:val="none"/>
              </w:rPr>
            </w:pPr>
            <w:r>
              <w:rPr>
                <w:rFonts w:hint="eastAsia" w:ascii="仿宋" w:hAnsi="仿宋" w:eastAsia="仿宋" w:cs="仿宋"/>
                <w:snapToGrid w:val="0"/>
                <w:color w:val="000000" w:themeColor="text1"/>
                <w:szCs w:val="21"/>
                <w:highlight w:val="none"/>
              </w:rPr>
              <w:t>对于供应商在规定时间内依法提出的询问和质疑，采购代理机构将在三个工作日内答复询问，七个工作日内答复质疑。若对竞争性磋商文件做出实质性变动，则按照相关规定延长磋商截止时间。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16</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磋商有效期</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90个日历日（从提交磋商响应文件截止之日算起）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17</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转包与分包履约</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lang w:eastAsia="zh-CN"/>
              </w:rPr>
            </w:pPr>
            <w:r>
              <w:rPr>
                <w:rFonts w:hint="eastAsia" w:ascii="仿宋" w:hAnsi="仿宋" w:eastAsia="仿宋" w:cs="仿宋"/>
                <w:color w:val="000000" w:themeColor="text1"/>
                <w:szCs w:val="21"/>
                <w:highlight w:val="none"/>
              </w:rPr>
              <w:t>不得转包</w:t>
            </w:r>
            <w:r>
              <w:rPr>
                <w:rFonts w:hint="eastAsia" w:ascii="仿宋" w:hAnsi="仿宋" w:eastAsia="仿宋" w:cs="仿宋"/>
                <w:color w:val="000000" w:themeColor="text1"/>
                <w:szCs w:val="21"/>
                <w:highlight w:val="none"/>
                <w:lang w:eastAsia="zh-CN"/>
              </w:rPr>
              <w:t>或分包。</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138"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18</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货物的合格</w:t>
            </w:r>
          </w:p>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来源国</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限中华人民共和国境内，不包括香港、澳门、台湾。</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395"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19</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磋商保证金金额及递交时间</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金    额：</w:t>
            </w:r>
            <w:r>
              <w:rPr>
                <w:rFonts w:hint="eastAsia" w:ascii="仿宋" w:hAnsi="仿宋" w:eastAsia="仿宋" w:cs="仿宋"/>
                <w:color w:val="000000" w:themeColor="text1"/>
                <w:szCs w:val="21"/>
                <w:highlight w:val="none"/>
                <w:lang w:eastAsia="zh-CN"/>
              </w:rPr>
              <w:t>壹</w:t>
            </w:r>
            <w:r>
              <w:rPr>
                <w:rFonts w:hint="eastAsia" w:ascii="仿宋" w:hAnsi="仿宋" w:eastAsia="仿宋" w:cs="仿宋"/>
                <w:color w:val="000000" w:themeColor="text1"/>
                <w:szCs w:val="21"/>
                <w:highlight w:val="none"/>
              </w:rPr>
              <w:t>万元整人民币（小写：￥</w:t>
            </w:r>
            <w:bookmarkStart w:id="5" w:name="OLE_LINK6"/>
            <w:bookmarkStart w:id="6" w:name="OLE_LINK5"/>
            <w:r>
              <w:rPr>
                <w:rFonts w:hint="eastAsia" w:ascii="仿宋" w:hAnsi="仿宋" w:eastAsia="仿宋" w:cs="仿宋"/>
                <w:color w:val="000000" w:themeColor="text1"/>
                <w:szCs w:val="21"/>
                <w:highlight w:val="none"/>
                <w:lang w:val="en-US" w:eastAsia="zh-CN"/>
              </w:rPr>
              <w:t>1</w:t>
            </w:r>
            <w:r>
              <w:rPr>
                <w:rFonts w:hint="eastAsia" w:ascii="仿宋" w:hAnsi="仿宋" w:eastAsia="仿宋" w:cs="仿宋"/>
                <w:color w:val="000000" w:themeColor="text1"/>
                <w:szCs w:val="21"/>
                <w:highlight w:val="none"/>
              </w:rPr>
              <w:t>0,000.00元</w:t>
            </w:r>
            <w:bookmarkEnd w:id="5"/>
            <w:bookmarkEnd w:id="6"/>
            <w:r>
              <w:rPr>
                <w:rFonts w:hint="eastAsia" w:ascii="仿宋" w:hAnsi="仿宋" w:eastAsia="仿宋" w:cs="仿宋"/>
                <w:color w:val="000000" w:themeColor="text1"/>
                <w:szCs w:val="21"/>
                <w:highlight w:val="none"/>
              </w:rPr>
              <w:t>）</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保证金按交款方式要求以投标人银行基本账户转账缴至指定账户，并保证其在投标截止时前到账，交纳磋商保证金金额不足、逾期未交或逾期到账的，其投标按照无效投标处理。采用信用担保方式的投标人须在投标截止时前向采购代理机构提交投标担保函。若未在投标担保递交截止时间收到投标人的担保函，其投标将被拒绝。</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磋商保证金或投标保函到帐后携开户行许可证及转账凭证或担保函至</w:t>
            </w:r>
            <w:r>
              <w:rPr>
                <w:rFonts w:hint="eastAsia" w:ascii="仿宋" w:hAnsi="仿宋" w:eastAsia="仿宋" w:cs="仿宋"/>
                <w:color w:val="000000" w:themeColor="text1"/>
                <w:szCs w:val="21"/>
                <w:highlight w:val="none"/>
                <w:lang w:eastAsia="zh-CN"/>
              </w:rPr>
              <w:t>正大鹏安建设项目管理有限公司</w:t>
            </w:r>
            <w:r>
              <w:rPr>
                <w:rFonts w:hint="eastAsia" w:ascii="仿宋" w:hAnsi="仿宋" w:eastAsia="仿宋" w:cs="仿宋"/>
                <w:color w:val="000000" w:themeColor="text1"/>
                <w:szCs w:val="21"/>
                <w:highlight w:val="none"/>
              </w:rPr>
              <w:t>换取磋商保证金缴纳凭证，并将复印件附在投标文件中，作为保证金交纳的唯一凭证。</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提交方式及账户详见附件1。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20</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备选磋商方案和报价</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本项目不接受备选磋商方案</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根据国家相关费用标准自主报价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21</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签字和（或）盖章</w:t>
            </w:r>
          </w:p>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要求</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 所有要求签字的地方都应用不褪色的墨水或签字笔由本人亲笔手写签字(包括姓和名)，不得用盖章（如签名章、签字章等）代替，也不得由他人代签；</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 所有要求盖章的地方都应加盖供应商（法定名称）章（原色章），不得使用专用印章（如经济合同章、投标专用章等）或下属单位印章代替；</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 响应文件格式中要求供应商“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63"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22</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磋商响应文件份数</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正本1份；副本</w:t>
            </w:r>
            <w:r>
              <w:rPr>
                <w:rFonts w:hint="eastAsia" w:ascii="仿宋" w:hAnsi="仿宋" w:eastAsia="仿宋" w:cs="仿宋"/>
                <w:color w:val="000000" w:themeColor="text1"/>
                <w:szCs w:val="21"/>
                <w:highlight w:val="none"/>
                <w:lang w:val="en-US" w:eastAsia="zh-CN"/>
              </w:rPr>
              <w:t>1</w:t>
            </w:r>
            <w:r>
              <w:rPr>
                <w:rFonts w:hint="eastAsia" w:ascii="仿宋" w:hAnsi="仿宋" w:eastAsia="仿宋" w:cs="仿宋"/>
                <w:color w:val="000000" w:themeColor="text1"/>
                <w:szCs w:val="21"/>
                <w:highlight w:val="none"/>
              </w:rPr>
              <w:t>份。</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23</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电子版文件要求</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 xml:space="preserve">投标文件电子版份数： 2份 </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投标文件电子版形式： 光盘或U盘（注：光盘或U盘上标注供应商名称、项目名称、磋商时间）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05"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24</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磋商响应文件的装订、密封和标记</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磋商响应文件一律采用书籍（胶装）方式装订成册，</w:t>
            </w:r>
            <w:r>
              <w:rPr>
                <w:rFonts w:hint="eastAsia" w:ascii="仿宋" w:hAnsi="仿宋" w:eastAsia="仿宋" w:cs="仿宋"/>
                <w:color w:val="000000" w:themeColor="text1"/>
                <w:szCs w:val="21"/>
                <w:highlight w:val="none"/>
              </w:rPr>
              <w:t>装订应牢固、不易拆散和换页，不得采用活页装订。磋商响应文件正本、所有副本须分别袋装密封，且在磋商响应文件袋上标明 “正本”、“副本”字样，封袋应加贴封条，并在封线处加盖供应商公章和法定代表人章（或委托代理人签字）。</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正本/副本</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项目名称：</w:t>
            </w:r>
          </w:p>
          <w:p>
            <w:pPr>
              <w:spacing w:line="320" w:lineRule="exact"/>
              <w:rPr>
                <w:rFonts w:hint="eastAsia" w:ascii="仿宋" w:hAnsi="仿宋" w:eastAsia="仿宋" w:cs="仿宋"/>
                <w:color w:val="000000" w:themeColor="text1"/>
                <w:szCs w:val="21"/>
                <w:highlight w:val="none"/>
                <w:u w:val="single"/>
              </w:rPr>
            </w:pPr>
            <w:r>
              <w:rPr>
                <w:rFonts w:hint="eastAsia" w:ascii="仿宋" w:hAnsi="仿宋" w:eastAsia="仿宋" w:cs="仿宋"/>
                <w:color w:val="000000" w:themeColor="text1"/>
                <w:szCs w:val="21"/>
                <w:highlight w:val="none"/>
              </w:rPr>
              <w:t>项目编号：</w:t>
            </w:r>
          </w:p>
          <w:p>
            <w:pPr>
              <w:spacing w:line="320" w:lineRule="exact"/>
              <w:rPr>
                <w:rFonts w:hint="eastAsia" w:ascii="仿宋" w:hAnsi="仿宋" w:eastAsia="仿宋" w:cs="仿宋"/>
                <w:color w:val="000000" w:themeColor="text1"/>
                <w:szCs w:val="21"/>
                <w:highlight w:val="none"/>
                <w:u w:val="single"/>
              </w:rPr>
            </w:pPr>
            <w:r>
              <w:rPr>
                <w:rFonts w:hint="eastAsia" w:ascii="仿宋" w:hAnsi="仿宋" w:eastAsia="仿宋" w:cs="仿宋"/>
                <w:color w:val="000000" w:themeColor="text1"/>
                <w:szCs w:val="21"/>
                <w:highlight w:val="none"/>
              </w:rPr>
              <w:t>供应商名称：</w:t>
            </w:r>
            <w:r>
              <w:rPr>
                <w:rFonts w:hint="eastAsia" w:ascii="仿宋" w:hAnsi="仿宋" w:eastAsia="仿宋" w:cs="仿宋"/>
                <w:color w:val="000000" w:themeColor="text1"/>
                <w:szCs w:val="21"/>
                <w:highlight w:val="none"/>
                <w:u w:val="single"/>
              </w:rPr>
              <w:t xml:space="preserve">                   （盖章）</w:t>
            </w:r>
          </w:p>
          <w:p>
            <w:pPr>
              <w:spacing w:line="320" w:lineRule="exact"/>
              <w:rPr>
                <w:rFonts w:hint="eastAsia" w:ascii="仿宋" w:hAnsi="仿宋" w:eastAsia="仿宋" w:cs="仿宋"/>
                <w:color w:val="000000" w:themeColor="text1"/>
                <w:szCs w:val="21"/>
                <w:highlight w:val="none"/>
                <w:u w:val="single"/>
              </w:rPr>
            </w:pPr>
            <w:r>
              <w:rPr>
                <w:rFonts w:hint="eastAsia" w:ascii="仿宋" w:hAnsi="仿宋" w:eastAsia="仿宋" w:cs="仿宋"/>
                <w:color w:val="000000" w:themeColor="text1"/>
                <w:szCs w:val="21"/>
                <w:highlight w:val="none"/>
              </w:rPr>
              <w:t>法定代表人或授权委托人：</w:t>
            </w:r>
            <w:r>
              <w:rPr>
                <w:rFonts w:hint="eastAsia" w:ascii="仿宋" w:hAnsi="仿宋" w:eastAsia="仿宋" w:cs="仿宋"/>
                <w:color w:val="000000" w:themeColor="text1"/>
                <w:szCs w:val="21"/>
                <w:highlight w:val="none"/>
                <w:u w:val="single"/>
              </w:rPr>
              <w:t xml:space="preserve">               （签字或盖章）</w:t>
            </w:r>
          </w:p>
          <w:p>
            <w:pPr>
              <w:spacing w:line="320" w:lineRule="exact"/>
              <w:rPr>
                <w:rFonts w:hint="eastAsia" w:ascii="仿宋" w:hAnsi="仿宋" w:eastAsia="仿宋" w:cs="仿宋"/>
                <w:color w:val="000000" w:themeColor="text1"/>
                <w:szCs w:val="21"/>
                <w:highlight w:val="none"/>
                <w:u w:val="single"/>
              </w:rPr>
            </w:pPr>
            <w:r>
              <w:rPr>
                <w:rFonts w:hint="eastAsia" w:ascii="仿宋" w:hAnsi="仿宋" w:eastAsia="仿宋" w:cs="仿宋"/>
                <w:color w:val="000000" w:themeColor="text1"/>
                <w:szCs w:val="21"/>
                <w:highlight w:val="none"/>
              </w:rPr>
              <w:t>响应日期：</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响应文件在年月日时分前不得开启</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25</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磋商响应文件提交地点及截止时间</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时间：</w:t>
            </w:r>
            <w:r>
              <w:rPr>
                <w:rFonts w:hint="eastAsia" w:ascii="仿宋" w:hAnsi="仿宋" w:eastAsia="仿宋" w:cs="仿宋"/>
              </w:rPr>
              <w:t>2019-11-15 14:00:00</w:t>
            </w:r>
          </w:p>
          <w:p>
            <w:pPr>
              <w:tabs>
                <w:tab w:val="left" w:pos="9720"/>
              </w:tabs>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地点：</w:t>
            </w:r>
            <w:r>
              <w:rPr>
                <w:rFonts w:hint="eastAsia" w:ascii="仿宋" w:hAnsi="仿宋" w:eastAsia="仿宋" w:cs="仿宋"/>
              </w:rPr>
              <w:t>陕西省汉中市汉台区东一环路盛世国际商业广场2号写字楼11楼正大鹏安建设项目管理有限公司汉中分公司会议室</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51"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26</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磋商会议</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时间：</w:t>
            </w:r>
            <w:r>
              <w:rPr>
                <w:rFonts w:hint="eastAsia" w:ascii="仿宋" w:hAnsi="仿宋" w:eastAsia="仿宋" w:cs="仿宋"/>
              </w:rPr>
              <w:t>2019-11-15 14:00:00</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地点：</w:t>
            </w:r>
            <w:r>
              <w:rPr>
                <w:rFonts w:hint="eastAsia" w:ascii="仿宋" w:hAnsi="仿宋" w:eastAsia="仿宋" w:cs="仿宋"/>
              </w:rPr>
              <w:t>陕西省汉中市汉台区东一环路盛世国际商业广场2号写字楼11楼正大鹏安建设项目管理有限公司汉中分公司会议室</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820"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27</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磋商报价次数、磋商程序和最终报价的产生原则</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本次磋商采用二次报价</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磋商程序为：</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1、磋商小组对所有提交的响应文件进行评审；</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2、磋商小组所有成员集中与单一供应商分别进行磋商；</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3、供应商按照要求提交二次报价；</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4、磋商小组评审、推荐成交候选人。</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在磋商过程中，磋商小组可以根据竞争性磋商文件和磋商情况实质性变动采购需求中的技术、服务要求以及合同草案条款，二次报价为最终报价。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7" w:hRule="exac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28</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评审办法及标准</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详见竞争性磋商文件第三章评审办法。</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394"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29</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合同履行过程中的价格调整</w:t>
            </w:r>
          </w:p>
        </w:tc>
        <w:tc>
          <w:tcPr>
            <w:tcW w:w="6004" w:type="dxa"/>
            <w:tcBorders>
              <w:tl2br w:val="nil"/>
              <w:tr2bl w:val="nil"/>
            </w:tcBorders>
            <w:shd w:val="clear" w:color="auto" w:fill="auto"/>
            <w:vAlign w:val="center"/>
          </w:tcPr>
          <w:p>
            <w:pPr>
              <w:spacing w:line="320" w:lineRule="exact"/>
              <w:jc w:val="left"/>
              <w:rPr>
                <w:rFonts w:hint="eastAsia" w:ascii="仿宋" w:hAnsi="仿宋" w:eastAsia="仿宋" w:cs="仿宋"/>
                <w:color w:val="000000" w:themeColor="text1"/>
                <w:kern w:val="0"/>
                <w:szCs w:val="21"/>
                <w:highlight w:val="none"/>
              </w:rPr>
            </w:pPr>
            <w:r>
              <w:rPr>
                <w:rFonts w:hint="eastAsia" w:ascii="仿宋" w:hAnsi="仿宋" w:eastAsia="仿宋" w:cs="仿宋"/>
                <w:color w:val="000000" w:themeColor="text1"/>
                <w:kern w:val="0"/>
                <w:szCs w:val="21"/>
                <w:highlight w:val="none"/>
              </w:rPr>
              <w:t>不调整。在履行合同时，应按照合同约定的单价和价格作价进行支付，即磋商报价表中标明的单价和价格在合同执行过程中是固定不变的，不因物价波动而调整，风险和收益由承包人自行承担。但因法律变化引起的价格调整除外。</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96" w:hRule="exac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30</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采购代理服务费</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lang w:eastAsia="zh-CN"/>
              </w:rPr>
            </w:pPr>
            <w:r>
              <w:rPr>
                <w:rFonts w:hint="eastAsia" w:ascii="仿宋" w:hAnsi="仿宋" w:eastAsia="仿宋" w:cs="仿宋"/>
                <w:color w:val="000000" w:themeColor="text1"/>
                <w:szCs w:val="21"/>
                <w:highlight w:val="none"/>
                <w:lang w:eastAsia="zh-CN"/>
              </w:rPr>
              <w:t>中标单位</w:t>
            </w:r>
            <w:r>
              <w:rPr>
                <w:rFonts w:hint="eastAsia" w:ascii="仿宋" w:hAnsi="仿宋" w:eastAsia="仿宋" w:cs="仿宋"/>
                <w:color w:val="000000" w:themeColor="text1"/>
                <w:szCs w:val="21"/>
                <w:highlight w:val="none"/>
              </w:rPr>
              <w:t>支付</w:t>
            </w:r>
            <w:r>
              <w:rPr>
                <w:rFonts w:hint="eastAsia" w:ascii="仿宋" w:hAnsi="仿宋" w:eastAsia="仿宋" w:cs="仿宋"/>
                <w:color w:val="000000" w:themeColor="text1"/>
                <w:szCs w:val="21"/>
                <w:highlight w:val="none"/>
                <w:lang w:eastAsia="zh-CN"/>
              </w:rPr>
              <w:t>，按照《招标代理服务收费管理暂行办法》计价格[2002]1980号文件规定收费标准收取。</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31</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需要落实的政府采购政策</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1、投标供应商政府采购政策</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1.1中小企业落实政府采购政策</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（1）中小企业应符合工信部联企业[2011]300号文件规定，采购活动执行《政府采购促进中小企业发展暂行办法》的规定。</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（2）投标供应商须提供中小企业管理部门开具的中小企业证明函，以此为依据享受政府采购政策。</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（3）投标供应商出具《中小企业声明函》，由评委会审定，符合条件的企业享受政府采购政策(价格优惠6%)。</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1.2残疾人福利性单位应符合《财政部 民政部 中国残疾人联合会关于促进残疾人就业政府采购政策的通知》（财库〔2017〕 141号），投标供应商出具《残疾人福利性单位声明函》，由评委会审定，符合条件的企业享受政府采购政策(价格优惠6%)。</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1.3监狱和戒毒企业应符合《财政部 司法部关于政府采购支持监狱企业发展有关问题的通知》--财库〔2014〕68号，并提供由省级以上监狱管理局、戒毒管理局(含新疆生产建设兵团)出具的属于监狱企业的证明(价格优惠6%）。</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若供应商同时满足上述中1.1、1.2、1.3中多个优惠条件时，评标时只按一种优惠计入。</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1.4投标供应商应如实提供以上证明文件，如存在虚假应标，将取消其投标资格。</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2、投标产品政府采购政策</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2.1节能产品根据《国务院办公厅关于建立政府强制采购节能产品制度的通知》（国办发〔2007〕51号）的规定，以中国政府采购网（http://www.ccgp.gov.cn/）公布的最新一期节能产品政府采购清单为准。</w:t>
            </w:r>
          </w:p>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2.2环境标志产品根据《环境标志产品政府采购实施的意见》（财库[2006]90号）的规定，以中国政府采购网（http://www.ccgp.gov.cn/）公布的最新一期环境标志产品政府采购清单为准。</w:t>
            </w:r>
          </w:p>
          <w:p>
            <w:pPr>
              <w:spacing w:line="320" w:lineRule="exact"/>
              <w:rPr>
                <w:rFonts w:hint="eastAsia" w:ascii="仿宋" w:hAnsi="仿宋" w:eastAsia="仿宋" w:cs="仿宋"/>
                <w:color w:val="000000" w:themeColor="text1"/>
                <w:szCs w:val="21"/>
                <w:highlight w:val="none"/>
                <w:shd w:val="clear" w:color="auto" w:fill="FFFFFF"/>
              </w:rPr>
            </w:pPr>
            <w:r>
              <w:rPr>
                <w:rFonts w:hint="eastAsia" w:ascii="仿宋" w:hAnsi="仿宋" w:eastAsia="仿宋" w:cs="仿宋"/>
                <w:color w:val="000000" w:themeColor="text1"/>
                <w:szCs w:val="21"/>
                <w:highlight w:val="none"/>
              </w:rPr>
              <w:t>2.3投标供应商在磋商响应文件中对所投标产品为节能、环保、环境标志产品清单中的产品（价格优惠6%），在投标报价时必须对此类产品单独分项报价，计算出小计及占投标报价总金额的百分比，并提供属于清单内产品的证明资料（从中国政府采购网上下载的网页公告等），未提供节能、环保、环境标志产品计分明细表及属于清单内产品的证明资料的不给予计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77" w:hRule="atLeast"/>
        </w:trPr>
        <w:tc>
          <w:tcPr>
            <w:tcW w:w="767" w:type="dxa"/>
            <w:tcBorders>
              <w:tl2br w:val="nil"/>
              <w:tr2bl w:val="nil"/>
            </w:tcBorders>
            <w:shd w:val="clear" w:color="auto" w:fill="auto"/>
            <w:vAlign w:val="center"/>
          </w:tcPr>
          <w:p>
            <w:pPr>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32</w:t>
            </w:r>
          </w:p>
        </w:tc>
        <w:tc>
          <w:tcPr>
            <w:tcW w:w="1882" w:type="dxa"/>
            <w:tcBorders>
              <w:tl2br w:val="nil"/>
              <w:tr2bl w:val="nil"/>
            </w:tcBorders>
            <w:shd w:val="clear" w:color="auto" w:fill="auto"/>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其他说明</w:t>
            </w:r>
          </w:p>
        </w:tc>
        <w:tc>
          <w:tcPr>
            <w:tcW w:w="6004" w:type="dxa"/>
            <w:tcBorders>
              <w:tl2br w:val="nil"/>
              <w:tr2bl w:val="nil"/>
            </w:tcBorders>
            <w:shd w:val="clear" w:color="auto" w:fill="auto"/>
            <w:vAlign w:val="center"/>
          </w:tcPr>
          <w:p>
            <w:pPr>
              <w:spacing w:line="320" w:lineRule="exact"/>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4"/>
                <w:highlight w:val="none"/>
              </w:rPr>
              <w:t>本竞争性磋商文件未明确的其他事项，按照有关法律、法规或省市有关规定执行。</w:t>
            </w:r>
          </w:p>
        </w:tc>
      </w:tr>
    </w:tbl>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spacing w:line="500" w:lineRule="exact"/>
        <w:rPr>
          <w:rFonts w:hint="eastAsia" w:ascii="仿宋" w:hAnsi="仿宋" w:eastAsia="仿宋" w:cs="仿宋"/>
          <w:color w:val="000000" w:themeColor="text1"/>
          <w:szCs w:val="21"/>
          <w:highlight w:val="none"/>
        </w:rPr>
      </w:pPr>
      <w:bookmarkStart w:id="7" w:name="_Toc246928894"/>
    </w:p>
    <w:p>
      <w:pPr>
        <w:spacing w:line="500" w:lineRule="exact"/>
        <w:rPr>
          <w:rFonts w:hint="eastAsia" w:ascii="仿宋" w:hAnsi="仿宋" w:eastAsia="仿宋" w:cs="仿宋"/>
          <w:color w:val="000000" w:themeColor="text1"/>
          <w:szCs w:val="21"/>
          <w:highlight w:val="none"/>
        </w:rPr>
      </w:pPr>
    </w:p>
    <w:p>
      <w:pPr>
        <w:spacing w:line="500" w:lineRule="exact"/>
        <w:rPr>
          <w:rFonts w:hint="eastAsia" w:ascii="仿宋" w:hAnsi="仿宋" w:eastAsia="仿宋" w:cs="仿宋"/>
          <w:color w:val="000000" w:themeColor="text1"/>
          <w:szCs w:val="21"/>
          <w:highlight w:val="none"/>
        </w:rPr>
      </w:pPr>
    </w:p>
    <w:p>
      <w:pPr>
        <w:spacing w:line="500" w:lineRule="exact"/>
        <w:rPr>
          <w:rFonts w:hint="eastAsia" w:ascii="仿宋" w:hAnsi="仿宋" w:eastAsia="仿宋" w:cs="仿宋"/>
          <w:color w:val="000000" w:themeColor="text1"/>
          <w:szCs w:val="21"/>
          <w:highlight w:val="none"/>
        </w:rPr>
      </w:pPr>
    </w:p>
    <w:p>
      <w:pPr>
        <w:spacing w:line="500" w:lineRule="exact"/>
        <w:rPr>
          <w:rFonts w:hint="eastAsia" w:ascii="仿宋" w:hAnsi="仿宋" w:eastAsia="仿宋" w:cs="仿宋"/>
          <w:color w:val="000000" w:themeColor="text1"/>
          <w:szCs w:val="21"/>
          <w:highlight w:val="none"/>
        </w:rPr>
      </w:pPr>
    </w:p>
    <w:p>
      <w:pPr>
        <w:spacing w:line="500" w:lineRule="exact"/>
        <w:rPr>
          <w:rFonts w:hint="eastAsia" w:ascii="仿宋" w:hAnsi="仿宋" w:eastAsia="仿宋" w:cs="仿宋"/>
          <w:color w:val="000000" w:themeColor="text1"/>
          <w:szCs w:val="21"/>
          <w:highlight w:val="none"/>
        </w:rPr>
      </w:pPr>
    </w:p>
    <w:p>
      <w:pPr>
        <w:spacing w:line="500" w:lineRule="exact"/>
        <w:rPr>
          <w:rFonts w:hint="eastAsia" w:ascii="仿宋" w:hAnsi="仿宋" w:eastAsia="仿宋" w:cs="仿宋"/>
          <w:color w:val="000000" w:themeColor="text1"/>
          <w:szCs w:val="21"/>
          <w:highlight w:val="none"/>
        </w:rPr>
      </w:pPr>
    </w:p>
    <w:p>
      <w:pPr>
        <w:spacing w:line="50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附件1：</w:t>
      </w:r>
    </w:p>
    <w:p>
      <w:pPr>
        <w:spacing w:line="500" w:lineRule="exact"/>
        <w:ind w:firstLine="562" w:firstLineChars="200"/>
        <w:jc w:val="center"/>
        <w:rPr>
          <w:rFonts w:hint="eastAsia" w:ascii="仿宋" w:hAnsi="仿宋" w:eastAsia="仿宋" w:cs="仿宋"/>
          <w:color w:val="000000" w:themeColor="text1"/>
          <w:szCs w:val="21"/>
          <w:highlight w:val="none"/>
        </w:rPr>
      </w:pPr>
      <w:r>
        <w:rPr>
          <w:rFonts w:hint="eastAsia" w:ascii="仿宋" w:hAnsi="仿宋" w:eastAsia="仿宋" w:cs="仿宋"/>
          <w:b/>
          <w:color w:val="000000" w:themeColor="text1"/>
          <w:sz w:val="28"/>
          <w:szCs w:val="28"/>
          <w:highlight w:val="none"/>
        </w:rPr>
        <w:t>保证金</w:t>
      </w:r>
      <w:r>
        <w:rPr>
          <w:rFonts w:hint="eastAsia" w:ascii="仿宋" w:hAnsi="仿宋" w:eastAsia="仿宋" w:cs="仿宋"/>
          <w:b/>
          <w:color w:val="000000" w:themeColor="text1"/>
          <w:sz w:val="28"/>
          <w:szCs w:val="28"/>
          <w:highlight w:val="none"/>
          <w:lang w:eastAsia="zh-CN"/>
        </w:rPr>
        <w:t>缴纳</w:t>
      </w:r>
      <w:r>
        <w:rPr>
          <w:rFonts w:hint="eastAsia" w:ascii="仿宋" w:hAnsi="仿宋" w:eastAsia="仿宋" w:cs="仿宋"/>
          <w:b/>
          <w:color w:val="000000" w:themeColor="text1"/>
          <w:sz w:val="28"/>
          <w:szCs w:val="28"/>
          <w:highlight w:val="none"/>
        </w:rPr>
        <w:t>说明</w:t>
      </w:r>
    </w:p>
    <w:p>
      <w:pPr>
        <w:spacing w:line="500" w:lineRule="exact"/>
        <w:ind w:firstLine="42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一、请将款项汇至以下指定的银行账户内（须从公司基本账户转出）：</w:t>
      </w:r>
    </w:p>
    <w:tbl>
      <w:tblPr>
        <w:tblStyle w:val="47"/>
        <w:tblW w:w="8130" w:type="dxa"/>
        <w:tblInd w:w="648" w:type="dxa"/>
        <w:tblBorders>
          <w:top w:val="single" w:color="auto" w:sz="12" w:space="0"/>
          <w:left w:val="single" w:color="auto" w:sz="12" w:space="0"/>
          <w:bottom w:val="single" w:color="auto" w:sz="12" w:space="0"/>
          <w:right w:val="single" w:color="auto" w:sz="12" w:space="0"/>
          <w:insideH w:val="single" w:color="auto" w:sz="4" w:space="0"/>
          <w:insideV w:val="outset" w:color="auto" w:sz="6" w:space="0"/>
        </w:tblBorders>
        <w:tblLayout w:type="fixed"/>
        <w:tblCellMar>
          <w:top w:w="0" w:type="dxa"/>
          <w:left w:w="108" w:type="dxa"/>
          <w:bottom w:w="0" w:type="dxa"/>
          <w:right w:w="108" w:type="dxa"/>
        </w:tblCellMar>
      </w:tblPr>
      <w:tblGrid>
        <w:gridCol w:w="8130"/>
      </w:tblGrid>
      <w:tr>
        <w:tblPrEx>
          <w:tblBorders>
            <w:top w:val="single" w:color="auto" w:sz="12" w:space="0"/>
            <w:left w:val="single" w:color="auto" w:sz="12" w:space="0"/>
            <w:bottom w:val="single" w:color="auto" w:sz="12" w:space="0"/>
            <w:right w:val="single" w:color="auto" w:sz="12" w:space="0"/>
            <w:insideH w:val="single" w:color="auto" w:sz="4" w:space="0"/>
            <w:insideV w:val="outset" w:color="auto" w:sz="6" w:space="0"/>
          </w:tblBorders>
          <w:tblCellMar>
            <w:top w:w="0" w:type="dxa"/>
            <w:left w:w="108" w:type="dxa"/>
            <w:bottom w:w="0" w:type="dxa"/>
            <w:right w:w="108" w:type="dxa"/>
          </w:tblCellMar>
        </w:tblPrEx>
        <w:trPr>
          <w:trHeight w:val="418" w:hRule="atLeast"/>
        </w:trPr>
        <w:tc>
          <w:tcPr>
            <w:tcW w:w="8130" w:type="dxa"/>
            <w:tcBorders>
              <w:top w:val="single" w:color="auto" w:sz="12" w:space="0"/>
              <w:left w:val="single" w:color="auto" w:sz="12" w:space="0"/>
              <w:bottom w:val="single" w:color="auto" w:sz="4" w:space="0"/>
              <w:right w:val="single" w:color="auto" w:sz="12" w:space="0"/>
            </w:tcBorders>
            <w:shd w:val="clear" w:color="auto" w:fill="auto"/>
            <w:vAlign w:val="center"/>
          </w:tcPr>
          <w:p>
            <w:pPr>
              <w:spacing w:line="34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磋商保证金专用户</w:t>
            </w:r>
          </w:p>
        </w:tc>
      </w:tr>
      <w:tr>
        <w:tblPrEx>
          <w:tblBorders>
            <w:top w:val="single" w:color="auto" w:sz="12" w:space="0"/>
            <w:left w:val="single" w:color="auto" w:sz="12" w:space="0"/>
            <w:bottom w:val="single" w:color="auto" w:sz="12" w:space="0"/>
            <w:right w:val="single" w:color="auto" w:sz="12" w:space="0"/>
            <w:insideH w:val="single" w:color="auto" w:sz="4" w:space="0"/>
            <w:insideV w:val="outset" w:color="auto" w:sz="6" w:space="0"/>
          </w:tblBorders>
          <w:tblCellMar>
            <w:top w:w="0" w:type="dxa"/>
            <w:left w:w="108" w:type="dxa"/>
            <w:bottom w:w="0" w:type="dxa"/>
            <w:right w:w="108" w:type="dxa"/>
          </w:tblCellMar>
        </w:tblPrEx>
        <w:trPr>
          <w:trHeight w:val="1172" w:hRule="atLeast"/>
        </w:trPr>
        <w:tc>
          <w:tcPr>
            <w:tcW w:w="8130" w:type="dxa"/>
            <w:tcBorders>
              <w:top w:val="single" w:color="auto" w:sz="4" w:space="0"/>
              <w:left w:val="single" w:color="auto" w:sz="12" w:space="0"/>
              <w:bottom w:val="single" w:color="auto" w:sz="12" w:space="0"/>
              <w:right w:val="single" w:color="auto" w:sz="12" w:space="0"/>
            </w:tcBorders>
            <w:shd w:val="clear" w:color="auto" w:fill="auto"/>
            <w:vAlign w:val="center"/>
          </w:tcPr>
          <w:p>
            <w:pPr>
              <w:spacing w:line="340" w:lineRule="exact"/>
              <w:ind w:left="630" w:leftChars="300"/>
              <w:rPr>
                <w:rFonts w:hint="eastAsia" w:ascii="仿宋" w:hAnsi="仿宋" w:eastAsia="仿宋" w:cs="仿宋"/>
                <w:color w:val="000000" w:themeColor="text1"/>
                <w:szCs w:val="21"/>
                <w:highlight w:val="none"/>
                <w:lang w:eastAsia="zh-CN"/>
              </w:rPr>
            </w:pPr>
            <w:r>
              <w:rPr>
                <w:rFonts w:hint="eastAsia" w:ascii="仿宋" w:hAnsi="仿宋" w:eastAsia="仿宋" w:cs="仿宋"/>
                <w:color w:val="000000" w:themeColor="text1"/>
                <w:szCs w:val="21"/>
                <w:highlight w:val="none"/>
              </w:rPr>
              <w:t>开户名称：</w:t>
            </w:r>
            <w:r>
              <w:rPr>
                <w:rFonts w:hint="eastAsia" w:ascii="仿宋" w:hAnsi="仿宋" w:eastAsia="仿宋" w:cs="仿宋"/>
                <w:color w:val="000000" w:themeColor="text1"/>
                <w:szCs w:val="21"/>
                <w:highlight w:val="none"/>
                <w:lang w:eastAsia="zh-CN"/>
              </w:rPr>
              <w:t>正大鹏安建设项目管理有限公司</w:t>
            </w:r>
          </w:p>
          <w:p>
            <w:pPr>
              <w:spacing w:line="340" w:lineRule="exact"/>
              <w:ind w:left="630" w:leftChars="3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开户行名称:中国建设银行西安金花路支行</w:t>
            </w:r>
          </w:p>
          <w:p>
            <w:pPr>
              <w:spacing w:line="340" w:lineRule="exact"/>
              <w:ind w:left="630" w:leftChars="3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账    号：61050186540000000221-0005</w:t>
            </w:r>
          </w:p>
          <w:p>
            <w:pPr>
              <w:spacing w:line="340" w:lineRule="exact"/>
              <w:ind w:left="630" w:leftChars="3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备注：转账汇款时请注明项目编号信息“</w:t>
            </w:r>
            <w:r>
              <w:rPr>
                <w:rFonts w:hint="eastAsia" w:ascii="仿宋" w:hAnsi="仿宋" w:eastAsia="仿宋" w:cs="仿宋"/>
                <w:color w:val="000000" w:themeColor="text1"/>
                <w:szCs w:val="21"/>
                <w:highlight w:val="none"/>
                <w:u w:val="single"/>
              </w:rPr>
              <w:t xml:space="preserve">  </w:t>
            </w:r>
            <w:r>
              <w:rPr>
                <w:rFonts w:hint="eastAsia" w:ascii="仿宋" w:hAnsi="仿宋" w:eastAsia="仿宋" w:cs="仿宋"/>
                <w:color w:val="000000" w:themeColor="text1"/>
                <w:szCs w:val="21"/>
                <w:highlight w:val="none"/>
                <w:u w:val="single"/>
                <w:lang w:val="en-US" w:eastAsia="zh-CN"/>
              </w:rPr>
              <w:t xml:space="preserve">        </w:t>
            </w:r>
            <w:r>
              <w:rPr>
                <w:rFonts w:hint="eastAsia" w:ascii="仿宋" w:hAnsi="仿宋" w:eastAsia="仿宋" w:cs="仿宋"/>
                <w:color w:val="000000" w:themeColor="text1"/>
                <w:szCs w:val="21"/>
                <w:highlight w:val="none"/>
                <w:u w:val="single"/>
              </w:rPr>
              <w:t xml:space="preserve">     </w:t>
            </w:r>
            <w:r>
              <w:rPr>
                <w:rFonts w:hint="eastAsia" w:ascii="仿宋" w:hAnsi="仿宋" w:eastAsia="仿宋" w:cs="仿宋"/>
                <w:color w:val="000000" w:themeColor="text1"/>
                <w:szCs w:val="21"/>
                <w:highlight w:val="none"/>
              </w:rPr>
              <w:t>项目磋商保证金”</w:t>
            </w:r>
          </w:p>
        </w:tc>
      </w:tr>
    </w:tbl>
    <w:p>
      <w:pPr>
        <w:spacing w:line="340" w:lineRule="exact"/>
        <w:rPr>
          <w:rFonts w:hint="eastAsia" w:ascii="仿宋" w:hAnsi="仿宋" w:eastAsia="仿宋" w:cs="仿宋"/>
          <w:color w:val="000000" w:themeColor="text1"/>
          <w:szCs w:val="21"/>
          <w:highlight w:val="none"/>
        </w:rPr>
      </w:pPr>
    </w:p>
    <w:p>
      <w:pPr>
        <w:spacing w:line="440" w:lineRule="exact"/>
        <w:ind w:firstLine="42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二、磋商保证金在磋商截止时间前到达采购代理机构指定账户方为有效，并将</w:t>
      </w:r>
      <w:r>
        <w:rPr>
          <w:rFonts w:hint="eastAsia" w:ascii="仿宋" w:hAnsi="仿宋" w:eastAsia="仿宋" w:cs="仿宋"/>
          <w:b w:val="0"/>
          <w:bCs w:val="0"/>
          <w:color w:val="000000" w:themeColor="text1"/>
          <w:szCs w:val="21"/>
          <w:highlight w:val="none"/>
          <w:lang w:eastAsia="zh-CN"/>
        </w:rPr>
        <w:t>正大鹏安建设项目管理有限公司开具</w:t>
      </w:r>
      <w:r>
        <w:rPr>
          <w:rFonts w:hint="eastAsia" w:ascii="仿宋" w:hAnsi="仿宋" w:eastAsia="仿宋" w:cs="仿宋"/>
          <w:b w:val="0"/>
          <w:bCs w:val="0"/>
          <w:color w:val="000000" w:themeColor="text1"/>
          <w:szCs w:val="21"/>
          <w:highlight w:val="none"/>
        </w:rPr>
        <w:t>的磋商保证金</w:t>
      </w:r>
      <w:r>
        <w:rPr>
          <w:rFonts w:hint="eastAsia" w:ascii="仿宋" w:hAnsi="仿宋" w:eastAsia="仿宋" w:cs="仿宋"/>
          <w:b w:val="0"/>
          <w:bCs w:val="0"/>
          <w:color w:val="000000" w:themeColor="text1"/>
          <w:szCs w:val="21"/>
          <w:highlight w:val="none"/>
          <w:lang w:eastAsia="zh-CN"/>
        </w:rPr>
        <w:t>收款收据</w:t>
      </w:r>
      <w:r>
        <w:rPr>
          <w:rFonts w:hint="eastAsia" w:ascii="仿宋" w:hAnsi="仿宋" w:eastAsia="仿宋" w:cs="仿宋"/>
          <w:b w:val="0"/>
          <w:bCs w:val="0"/>
          <w:color w:val="000000" w:themeColor="text1"/>
          <w:szCs w:val="21"/>
          <w:highlight w:val="none"/>
        </w:rPr>
        <w:t>复印件装订入投标文件正、副本中，作</w:t>
      </w:r>
      <w:r>
        <w:rPr>
          <w:rFonts w:hint="eastAsia" w:ascii="仿宋" w:hAnsi="仿宋" w:eastAsia="仿宋" w:cs="仿宋"/>
          <w:color w:val="000000" w:themeColor="text1"/>
          <w:szCs w:val="21"/>
          <w:highlight w:val="none"/>
        </w:rPr>
        <w:t>为保证金交纳的凭证。若提供磋商担保函的，应在磋商截止时间前至采购代理机构予以登记，并将担保函复印件留存。磋商保证金转账凭证或担保机构出具的担保函复印件装订入磋商响应文件正、副本中，作为保证金交纳的凭证。</w:t>
      </w:r>
    </w:p>
    <w:p>
      <w:pPr>
        <w:spacing w:line="440" w:lineRule="exact"/>
        <w:ind w:firstLine="42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三、转账、汇款时必须写明项目编号、项目名称（简称也可）和磋商保证金字样，便于查询登记。</w:t>
      </w:r>
    </w:p>
    <w:p>
      <w:pPr>
        <w:spacing w:line="440" w:lineRule="exact"/>
        <w:ind w:firstLine="42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四、磋商保证金提交以到账时间为准</w:t>
      </w:r>
      <w:r>
        <w:rPr>
          <w:rFonts w:hint="eastAsia" w:ascii="仿宋" w:hAnsi="仿宋" w:eastAsia="仿宋" w:cs="仿宋"/>
          <w:bCs/>
          <w:color w:val="000000" w:themeColor="text1"/>
          <w:szCs w:val="21"/>
          <w:highlight w:val="none"/>
        </w:rPr>
        <w:t>（以银行到账时间为准）</w:t>
      </w:r>
      <w:r>
        <w:rPr>
          <w:rFonts w:hint="eastAsia" w:ascii="仿宋" w:hAnsi="仿宋" w:eastAsia="仿宋" w:cs="仿宋"/>
          <w:color w:val="000000" w:themeColor="text1"/>
          <w:szCs w:val="21"/>
          <w:highlight w:val="none"/>
        </w:rPr>
        <w:t>，请各报名供应商在规定时间内缴纳投标保证金，避免因银行退票等其他情况，出现保证金未按时到账的情况影响正常。</w:t>
      </w:r>
    </w:p>
    <w:p>
      <w:pPr>
        <w:spacing w:line="440" w:lineRule="exact"/>
        <w:ind w:firstLine="42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lang w:eastAsia="zh-CN"/>
        </w:rPr>
        <w:t>五</w:t>
      </w:r>
      <w:r>
        <w:rPr>
          <w:rFonts w:hint="eastAsia" w:ascii="仿宋" w:hAnsi="仿宋" w:eastAsia="仿宋" w:cs="仿宋"/>
          <w:color w:val="000000" w:themeColor="text1"/>
          <w:szCs w:val="21"/>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中标单位如果需要融资贷款服务的，可凭中标通知书、政府采购合同等相关资料，按照文件规定的程序申请办理，具体规定可登陆陕西省政府采购网(www.ccgp-shaanxi.gov.cn/)重要通知专栏中查询了解。</w:t>
      </w:r>
    </w:p>
    <w:p>
      <w:pPr>
        <w:rPr>
          <w:rFonts w:hint="eastAsia" w:ascii="仿宋" w:hAnsi="仿宋" w:eastAsia="仿宋" w:cs="仿宋"/>
          <w:color w:val="000000" w:themeColor="text1"/>
          <w:highlight w:val="none"/>
        </w:rPr>
        <w:sectPr>
          <w:headerReference r:id="rId9" w:type="first"/>
          <w:footerReference r:id="rId12" w:type="first"/>
          <w:footerReference r:id="rId10" w:type="default"/>
          <w:footerReference r:id="rId11" w:type="even"/>
          <w:footnotePr>
            <w:pos w:val="beneathText"/>
          </w:footnotePr>
          <w:pgSz w:w="11906" w:h="16838"/>
          <w:pgMar w:top="1417" w:right="1417" w:bottom="1417" w:left="1417" w:header="851" w:footer="720" w:gutter="0"/>
          <w:pgBorders>
            <w:top w:val="none" w:sz="0" w:space="0"/>
            <w:left w:val="none" w:sz="0" w:space="0"/>
            <w:bottom w:val="none" w:sz="0" w:space="0"/>
            <w:right w:val="none" w:sz="0" w:space="0"/>
          </w:pgBorders>
          <w:pgNumType w:fmt="decimal" w:start="1"/>
          <w:cols w:space="720" w:num="1"/>
          <w:titlePg/>
          <w:docGrid w:linePitch="312" w:charSpace="0"/>
        </w:sectPr>
      </w:pPr>
    </w:p>
    <w:bookmarkEnd w:id="7"/>
    <w:p>
      <w:pPr>
        <w:pStyle w:val="3"/>
        <w:spacing w:line="440" w:lineRule="exact"/>
        <w:jc w:val="center"/>
        <w:rPr>
          <w:rFonts w:hint="eastAsia" w:ascii="仿宋" w:hAnsi="仿宋" w:eastAsia="仿宋" w:cs="仿宋"/>
          <w:color w:val="000000" w:themeColor="text1"/>
          <w:sz w:val="30"/>
          <w:szCs w:val="30"/>
          <w:highlight w:val="none"/>
        </w:rPr>
      </w:pPr>
      <w:bookmarkStart w:id="8" w:name="_Hlt497548036"/>
      <w:bookmarkEnd w:id="8"/>
      <w:bookmarkStart w:id="9" w:name="_Toc423508219"/>
      <w:bookmarkStart w:id="10" w:name="_Toc15985"/>
      <w:bookmarkStart w:id="11" w:name="_Toc497711585"/>
      <w:bookmarkStart w:id="12" w:name="_Toc497712133"/>
      <w:bookmarkStart w:id="13" w:name="_Toc492955459"/>
      <w:bookmarkStart w:id="14" w:name="_Toc497546918"/>
      <w:bookmarkStart w:id="15" w:name="_Toc246928930"/>
      <w:bookmarkStart w:id="16" w:name="_Toc497551820"/>
      <w:bookmarkStart w:id="17" w:name="_Toc93800308"/>
      <w:r>
        <w:rPr>
          <w:rFonts w:hint="eastAsia" w:ascii="仿宋" w:hAnsi="仿宋" w:eastAsia="仿宋" w:cs="仿宋"/>
          <w:color w:val="000000" w:themeColor="text1"/>
          <w:sz w:val="30"/>
          <w:szCs w:val="30"/>
          <w:highlight w:val="none"/>
        </w:rPr>
        <w:t>第三部分  磋商须知</w:t>
      </w:r>
      <w:bookmarkEnd w:id="9"/>
      <w:bookmarkEnd w:id="10"/>
    </w:p>
    <w:p>
      <w:pPr>
        <w:pStyle w:val="4"/>
        <w:spacing w:line="440" w:lineRule="exact"/>
        <w:jc w:val="center"/>
        <w:rPr>
          <w:rFonts w:hint="eastAsia" w:ascii="仿宋" w:hAnsi="仿宋" w:eastAsia="仿宋" w:cs="仿宋"/>
          <w:b w:val="0"/>
          <w:color w:val="000000" w:themeColor="text1"/>
          <w:sz w:val="30"/>
          <w:szCs w:val="30"/>
          <w:highlight w:val="none"/>
        </w:rPr>
      </w:pPr>
      <w:bookmarkStart w:id="18" w:name="_Toc246928895"/>
      <w:bookmarkStart w:id="19" w:name="_Toc423508220"/>
    </w:p>
    <w:bookmarkEnd w:id="18"/>
    <w:bookmarkEnd w:id="19"/>
    <w:p>
      <w:pPr>
        <w:spacing w:line="440" w:lineRule="exact"/>
        <w:jc w:val="center"/>
        <w:outlineLvl w:val="2"/>
        <w:rPr>
          <w:rFonts w:hint="eastAsia" w:ascii="仿宋" w:hAnsi="仿宋" w:eastAsia="仿宋" w:cs="仿宋"/>
          <w:b/>
          <w:color w:val="000000" w:themeColor="text1"/>
          <w:sz w:val="24"/>
          <w:szCs w:val="24"/>
          <w:highlight w:val="none"/>
        </w:rPr>
      </w:pPr>
      <w:bookmarkStart w:id="20" w:name="_Toc21392"/>
      <w:bookmarkStart w:id="21" w:name="_Toc30836"/>
      <w:bookmarkStart w:id="22" w:name="_Toc29499"/>
      <w:r>
        <w:rPr>
          <w:rFonts w:hint="eastAsia" w:ascii="仿宋" w:hAnsi="仿宋" w:eastAsia="仿宋" w:cs="仿宋"/>
          <w:b/>
          <w:color w:val="000000" w:themeColor="text1"/>
          <w:sz w:val="24"/>
          <w:szCs w:val="24"/>
          <w:highlight w:val="none"/>
        </w:rPr>
        <w:t>一、总则</w:t>
      </w:r>
      <w:bookmarkEnd w:id="20"/>
      <w:bookmarkEnd w:id="21"/>
      <w:bookmarkEnd w:id="22"/>
    </w:p>
    <w:p>
      <w:pPr>
        <w:spacing w:line="440" w:lineRule="exact"/>
        <w:jc w:val="left"/>
        <w:outlineLvl w:val="2"/>
        <w:rPr>
          <w:rFonts w:hint="eastAsia" w:ascii="仿宋" w:hAnsi="仿宋" w:eastAsia="仿宋" w:cs="仿宋"/>
          <w:b/>
          <w:color w:val="000000" w:themeColor="text1"/>
          <w:kern w:val="0"/>
          <w:sz w:val="24"/>
          <w:szCs w:val="24"/>
          <w:highlight w:val="none"/>
        </w:rPr>
      </w:pPr>
      <w:bookmarkStart w:id="23" w:name="_Toc31020"/>
      <w:bookmarkStart w:id="24" w:name="_Toc5850"/>
      <w:bookmarkStart w:id="25" w:name="_Toc29244"/>
      <w:r>
        <w:rPr>
          <w:rFonts w:hint="eastAsia" w:ascii="仿宋" w:hAnsi="仿宋" w:eastAsia="仿宋" w:cs="仿宋"/>
          <w:b/>
          <w:color w:val="000000" w:themeColor="text1"/>
          <w:kern w:val="0"/>
          <w:sz w:val="24"/>
          <w:szCs w:val="24"/>
          <w:highlight w:val="none"/>
        </w:rPr>
        <w:t>1、适用范围</w:t>
      </w:r>
      <w:bookmarkEnd w:id="23"/>
      <w:bookmarkEnd w:id="24"/>
      <w:bookmarkEnd w:id="25"/>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1.1本竞争性磋商文件仅适用于本次竞争性磋商所叙述的货物（产品）项目采购活动。</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1.2本次采购属货物类政府采购，采购人，采购代理机构、供应商、磋商小组的相关行为均受《中华人民共和国政府采购法》、《政府采购竞争性磋商采购方式管理暂行办法》、财政部规章及政府采购项目所在地有关法规、规章的约束，其权利受到上述法律法规的保护。</w:t>
      </w:r>
    </w:p>
    <w:p>
      <w:pPr>
        <w:spacing w:line="440" w:lineRule="exact"/>
        <w:jc w:val="left"/>
        <w:outlineLvl w:val="2"/>
        <w:rPr>
          <w:rFonts w:hint="eastAsia" w:ascii="仿宋" w:hAnsi="仿宋" w:eastAsia="仿宋" w:cs="仿宋"/>
          <w:b/>
          <w:color w:val="000000" w:themeColor="text1"/>
          <w:kern w:val="0"/>
          <w:sz w:val="24"/>
          <w:szCs w:val="24"/>
          <w:highlight w:val="none"/>
        </w:rPr>
      </w:pPr>
      <w:bookmarkStart w:id="26" w:name="_Toc7292"/>
      <w:bookmarkStart w:id="27" w:name="_Toc14577"/>
      <w:bookmarkStart w:id="28" w:name="_Toc26271"/>
      <w:r>
        <w:rPr>
          <w:rFonts w:hint="eastAsia" w:ascii="仿宋" w:hAnsi="仿宋" w:eastAsia="仿宋" w:cs="仿宋"/>
          <w:b/>
          <w:color w:val="000000" w:themeColor="text1"/>
          <w:kern w:val="0"/>
          <w:sz w:val="24"/>
          <w:szCs w:val="24"/>
          <w:highlight w:val="none"/>
        </w:rPr>
        <w:t>2、名词解释</w:t>
      </w:r>
      <w:bookmarkEnd w:id="26"/>
      <w:bookmarkEnd w:id="27"/>
      <w:bookmarkEnd w:id="28"/>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2.1“采购人”系指依法进行政府采购的国家机关、事业单位、团体组织。本次招标的采购人</w:t>
      </w:r>
      <w:r>
        <w:rPr>
          <w:rFonts w:hint="eastAsia" w:ascii="仿宋" w:hAnsi="仿宋" w:eastAsia="仿宋" w:cs="仿宋"/>
          <w:b/>
          <w:bCs/>
          <w:color w:val="000000" w:themeColor="text1"/>
          <w:sz w:val="24"/>
          <w:szCs w:val="24"/>
          <w:highlight w:val="none"/>
          <w:lang w:eastAsia="zh-CN"/>
        </w:rPr>
        <w:t>陕西省汉中监狱</w:t>
      </w:r>
      <w:r>
        <w:rPr>
          <w:rFonts w:hint="eastAsia" w:ascii="仿宋" w:hAnsi="仿宋" w:eastAsia="仿宋" w:cs="仿宋"/>
          <w:b/>
          <w:bCs/>
          <w:color w:val="000000" w:themeColor="text1"/>
          <w:sz w:val="24"/>
          <w:szCs w:val="24"/>
          <w:highlight w:val="none"/>
        </w:rPr>
        <w:t>。</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2.2“采购代理机构”系指根据采购人的委托依法办理招标事宜的代理机构。本次招标的采购代理机构是</w:t>
      </w:r>
      <w:r>
        <w:rPr>
          <w:rFonts w:hint="eastAsia" w:ascii="仿宋" w:hAnsi="仿宋" w:eastAsia="仿宋" w:cs="仿宋"/>
          <w:b/>
          <w:color w:val="000000" w:themeColor="text1"/>
          <w:sz w:val="24"/>
          <w:szCs w:val="24"/>
          <w:highlight w:val="none"/>
          <w:lang w:eastAsia="zh-CN"/>
        </w:rPr>
        <w:t>正大鹏安建设项目管理有限公司</w:t>
      </w:r>
      <w:r>
        <w:rPr>
          <w:rFonts w:hint="eastAsia" w:ascii="仿宋" w:hAnsi="仿宋" w:eastAsia="仿宋" w:cs="仿宋"/>
          <w:color w:val="000000" w:themeColor="text1"/>
          <w:sz w:val="24"/>
          <w:szCs w:val="24"/>
          <w:highlight w:val="none"/>
        </w:rPr>
        <w:t>。</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2.3“供应商”系指购买了竞争性磋商文件拟参加磋商和向采购人提供货物及相应服务的磋商单位。</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2.4“工程”系指供应商为完成本项目所做的基础建设、辅助工程等建设工程，包括建筑物和构筑物的新建、改建、扩建、装修、拆除、修缮等。</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2.5“货物”系指供应商按竞争性磋商文件规定，须向采购人提供的满足竞争性磋商文件要求的产品、设备、机械、仪器仪表、包装、备品配件、工具、使用说明以及所有有关的文件和材料。</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2.6“服务”系指竞争性磋商文件规定供应商须承担的产品设计及生产、有关运输、保险、技术支持以及其他使货物正常运转所必需的义务。</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2.7节能产品或者环保产品是指财政部发布的《节能产品政府采购清单》或者《环境标志产品政府采购清单》的产品。</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2.8进口产品是指通过中国海关报关验放进入中国境内且产自关境外的产品，详见《政府采购进口产品管理办法》(财库[2007]119号)。</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2.9中小企业是指符合《工业和信息化部、国家统计局、国家发展和改革委员会、财政部关于印发中小企业划型标准规定的通知》（工信部联企业[2011]300号）规定的对中小企业的划分标准的企业。</w:t>
      </w:r>
    </w:p>
    <w:p>
      <w:pPr>
        <w:autoSpaceDE w:val="0"/>
        <w:autoSpaceDN w:val="0"/>
        <w:adjustRightInd w:val="0"/>
        <w:spacing w:line="440" w:lineRule="exact"/>
        <w:ind w:right="6" w:firstLine="435"/>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adjustRightInd w:val="0"/>
        <w:spacing w:line="440" w:lineRule="exact"/>
        <w:ind w:right="6" w:firstLine="435"/>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2.11残疾人福利性单位是指符合《财政部民政部中国残疾人联合会关于促进残疾人就业政府采购政策的通知》（财库{2017}141号）的企业。</w:t>
      </w:r>
    </w:p>
    <w:p>
      <w:pPr>
        <w:spacing w:line="440" w:lineRule="exact"/>
        <w:jc w:val="left"/>
        <w:outlineLvl w:val="2"/>
        <w:rPr>
          <w:rFonts w:hint="eastAsia" w:ascii="仿宋" w:hAnsi="仿宋" w:eastAsia="仿宋" w:cs="仿宋"/>
          <w:b/>
          <w:color w:val="000000" w:themeColor="text1"/>
          <w:kern w:val="0"/>
          <w:sz w:val="24"/>
          <w:szCs w:val="24"/>
          <w:highlight w:val="none"/>
        </w:rPr>
      </w:pPr>
      <w:bookmarkStart w:id="29" w:name="_Toc7133"/>
      <w:bookmarkStart w:id="30" w:name="_Toc2384"/>
      <w:bookmarkStart w:id="31" w:name="_Toc18632"/>
      <w:r>
        <w:rPr>
          <w:rFonts w:hint="eastAsia" w:ascii="仿宋" w:hAnsi="仿宋" w:eastAsia="仿宋" w:cs="仿宋"/>
          <w:b/>
          <w:color w:val="000000" w:themeColor="text1"/>
          <w:kern w:val="0"/>
          <w:sz w:val="24"/>
          <w:szCs w:val="24"/>
          <w:highlight w:val="none"/>
        </w:rPr>
        <w:t>3、合格的供应商</w:t>
      </w:r>
      <w:bookmarkEnd w:id="29"/>
      <w:bookmarkEnd w:id="30"/>
      <w:bookmarkEnd w:id="31"/>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3.1合格的供应商应具备以下条件：</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（1）具备且满足“招标公告”要求的；</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（2）向采购代理机构购买了竞争性磋商文件并登记备案；</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（3）向采购代理机构缴纳了磋商保证金；</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（4）一个供应商只能提交一个磋商响应文件，法定代表人为同一人的两个及两个以上法人，不得同时参加本项目磋商；</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（5）有隶属关系的两个公司或有控股关系的两个公司不能同时参加同一项目的磋商；</w:t>
      </w:r>
    </w:p>
    <w:p>
      <w:pPr>
        <w:tabs>
          <w:tab w:val="left" w:pos="7665"/>
        </w:tabs>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（6）参加政府采购活动前三年内，在经营活动中没有重大违法纪录；</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（7）中华人民共和国法律、行政法规规定的其他条件（见供应商须知前附表）；</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（8）竞争性磋商文件和法律、行政法规规定的其他条件。</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3.2供应商不得直接或间接地与招标采购单位（包括</w:t>
      </w:r>
      <w:r>
        <w:rPr>
          <w:rFonts w:hint="eastAsia" w:ascii="仿宋" w:hAnsi="仿宋" w:eastAsia="仿宋" w:cs="仿宋"/>
          <w:color w:val="000000" w:themeColor="text1"/>
          <w:sz w:val="24"/>
          <w:szCs w:val="24"/>
          <w:highlight w:val="none"/>
          <w:lang w:eastAsia="zh-CN"/>
        </w:rPr>
        <w:t>正大鹏安建设项目管理有限公司</w:t>
      </w:r>
      <w:r>
        <w:rPr>
          <w:rFonts w:hint="eastAsia" w:ascii="仿宋" w:hAnsi="仿宋" w:eastAsia="仿宋" w:cs="仿宋"/>
          <w:color w:val="000000" w:themeColor="text1"/>
          <w:sz w:val="24"/>
          <w:szCs w:val="24"/>
          <w:highlight w:val="none"/>
        </w:rPr>
        <w:t>、采购人及用户）有任何关联，亦不得是招标采购单位的附属机构。如果供应商在磋商中隐瞒了上述关系，则该磋商无效。</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3.3单位负责人为同一人或者存在直接控股、管理关系的不同供应商，不得参加本项目同一合同项下的磋商。如果供应商在磋商中隐瞒了上述关系，则该磋商无效。</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3.4为本采购项目提供整体设计、规范编制或者项目管理、监理、检测等服务的供应商，不得再参加本采购项目的磋商。如果供应商在磋商中隐瞒了上述事实，则该磋商无效。</w:t>
      </w:r>
    </w:p>
    <w:p>
      <w:pPr>
        <w:spacing w:line="440" w:lineRule="exact"/>
        <w:ind w:firstLine="480" w:firstLineChars="200"/>
        <w:jc w:val="left"/>
        <w:rPr>
          <w:rFonts w:hint="eastAsia" w:ascii="仿宋" w:hAnsi="仿宋" w:eastAsia="仿宋" w:cs="仿宋"/>
          <w:color w:val="000000" w:themeColor="text1"/>
          <w:sz w:val="24"/>
          <w:szCs w:val="24"/>
          <w:highlight w:val="none"/>
        </w:rPr>
      </w:pPr>
      <w:bookmarkStart w:id="32" w:name="_Hlk529355373"/>
      <w:r>
        <w:rPr>
          <w:rFonts w:hint="eastAsia" w:ascii="仿宋" w:hAnsi="仿宋" w:eastAsia="仿宋" w:cs="仿宋"/>
          <w:color w:val="000000" w:themeColor="text1"/>
          <w:sz w:val="24"/>
          <w:szCs w:val="24"/>
          <w:highlight w:val="none"/>
        </w:rPr>
        <w:t>3.5供应商信用记录查询及使用</w:t>
      </w:r>
    </w:p>
    <w:p>
      <w:pPr>
        <w:spacing w:line="440" w:lineRule="exact"/>
        <w:ind w:firstLine="480" w:firstLineChars="200"/>
        <w:jc w:val="lef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信用中国”网站（www.creditchina.gov.cn）和“中国政府采购网”（ccgp.gov.cn）为供应商信用信息查询渠道，如果供应商被查实在磋商截止日前已列入失信被执行人、重大税收违法案件当事人名单、政府采购严重违法失信行为记录名单，其磋商为无效。</w:t>
      </w:r>
    </w:p>
    <w:bookmarkEnd w:id="32"/>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3.6如果在竞争性磋商文件中接受联合体磋商（见供应商须知前附表），则两个以上供应商可以组成一个磋商联合体，以一个供应商的身份磋商。以联合体形式参加磋商的，联合体各方均应当符合政府采购法第二十二条第一款规定的条件。采购人根据采购项目的特殊要求规定供应商特定条件的，联合体各方中至少应当有一方符合采购人规定的特定条件。联合体中有同类资质的供应商按照联合体分工承担相同工作的，按照资质等级较低的供应商确定资质等级。</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联合体各方之间应当签订共同磋商协议，明确约定联合体各方承担的工作和相应的责任，并将共同磋商协议附在磋商响应文件中一并提交。联合体各方签订共同磋商协议后，不得再以自己名义单独在同一项目中磋商，也不得组成新的联合体参加同一项目磋商，否则，其相关磋商均为无效。</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b/>
          <w:color w:val="000000" w:themeColor="text1"/>
          <w:kern w:val="0"/>
          <w:sz w:val="24"/>
          <w:szCs w:val="24"/>
          <w:highlight w:val="none"/>
        </w:rPr>
        <w:t>4、磋商货物和服务的合格性和合法性</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4.1磋商货物和服务应满足竞争性竞争性磋商文件的要求，并应符合国家法律法规、行业管理部门所要求的其他强制性标准。</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4.2合同中提供的货物及其有关服务的原产地，均应来自国家有关政府采购规定的工程、货物和服务的合法来源国，本合同的支付也仅限于这些货物和服务；</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4.3本款所述的“原产地”是指货物设计、生产和提供有关服务的来源地。所述的“货物”是指制造、加工或实质上装配了主要部件而形成的货物，商业上公认的产品是指在基本特征、性能或功能上与部件有着实质性区别的产品；</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4.4通过签署磋商响应文件，供应商应确认其为所供货物和服务的知识产权的合法所有人，或已经从其所有人那里得到了适当的授权。在此方面恶意地提供错误事实，将导致磋商被拒绝。</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5、磋商响应文件内容的真实性</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6、招标过程的监督和管理</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同级人民政府财政部门及有关部门依法履行对招标过程的监督管理职责。</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7、费用</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供应商应承担所有与编写和提交磋商响应文件有关的费用，无论磋商过程中的做法和结果如何，采购人和采购代理机构在任何情况下均无义务和责任承担这些费用。</w:t>
      </w:r>
    </w:p>
    <w:p>
      <w:pPr>
        <w:spacing w:line="440" w:lineRule="exact"/>
        <w:jc w:val="center"/>
        <w:outlineLvl w:val="2"/>
        <w:rPr>
          <w:rFonts w:hint="eastAsia" w:ascii="仿宋" w:hAnsi="仿宋" w:eastAsia="仿宋" w:cs="仿宋"/>
          <w:b/>
          <w:color w:val="000000" w:themeColor="text1"/>
          <w:sz w:val="24"/>
          <w:szCs w:val="24"/>
          <w:highlight w:val="none"/>
        </w:rPr>
      </w:pPr>
    </w:p>
    <w:p>
      <w:pPr>
        <w:spacing w:line="440" w:lineRule="exact"/>
        <w:jc w:val="center"/>
        <w:outlineLvl w:val="2"/>
        <w:rPr>
          <w:rFonts w:hint="eastAsia" w:ascii="仿宋" w:hAnsi="仿宋" w:eastAsia="仿宋" w:cs="仿宋"/>
          <w:b/>
          <w:color w:val="000000" w:themeColor="text1"/>
          <w:sz w:val="24"/>
          <w:szCs w:val="24"/>
          <w:highlight w:val="none"/>
        </w:rPr>
      </w:pPr>
      <w:bookmarkStart w:id="33" w:name="_Toc20749"/>
      <w:bookmarkStart w:id="34" w:name="_Toc11577"/>
      <w:bookmarkStart w:id="35" w:name="_Toc17580"/>
    </w:p>
    <w:p>
      <w:pPr>
        <w:spacing w:line="440" w:lineRule="exact"/>
        <w:jc w:val="center"/>
        <w:outlineLvl w:val="2"/>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二、竞争性磋商文件</w:t>
      </w:r>
      <w:bookmarkEnd w:id="33"/>
      <w:bookmarkEnd w:id="34"/>
      <w:bookmarkEnd w:id="35"/>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8、竞争性磋商文件的构成</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8.1竞争性磋商文件是供应商准备磋商响应文件和参加磋商会议的依据，同时也是评审的重要依据。竞争性磋商文件用以阐明采购项目所需的资质、技术、服务及报价等要求、招标磋商程序、评审办法与标准、有关规定和注意事项以及合同主要条款等。本竞争性磋商文件包括以下内容：</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（1）竞争性磋商公告；</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（2）供应商须知；</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（3）评审办法；</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（4）采购内容及技术要求；</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（5）合同条款；</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（6）磋商响应文件格式。</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8.2供应商应认真阅读和充分理解竞争性磋商文件中所有的事项、格式条款和规范要求。如果供应商没有按照竞争性磋商文件要求提交全部资料，或者磋商响应文件没有对竞争性磋商文件在各方面都做出实质性响应，由此带来的不利于供应商的评审结果，其风险由供应商承担。</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8.3本竞争性磋商文件的解释权归</w:t>
      </w:r>
      <w:r>
        <w:rPr>
          <w:rFonts w:hint="eastAsia" w:ascii="仿宋" w:hAnsi="仿宋" w:eastAsia="仿宋" w:cs="仿宋"/>
          <w:color w:val="000000" w:themeColor="text1"/>
          <w:sz w:val="24"/>
          <w:szCs w:val="24"/>
          <w:highlight w:val="none"/>
          <w:lang w:eastAsia="zh-CN"/>
        </w:rPr>
        <w:t>正大鹏安建设项目管理有限公司</w:t>
      </w:r>
      <w:r>
        <w:rPr>
          <w:rFonts w:hint="eastAsia" w:ascii="仿宋" w:hAnsi="仿宋" w:eastAsia="仿宋" w:cs="仿宋"/>
          <w:color w:val="000000" w:themeColor="text1"/>
          <w:sz w:val="24"/>
          <w:szCs w:val="24"/>
          <w:highlight w:val="none"/>
        </w:rPr>
        <w:t>。</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9、竞争性磋商文件的澄清和修改</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9.1在磋商截止时间前，采购人或者采购代理机构无论出于何种原因，可以对竞争性磋商文件进行澄清或者修改。</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9.2采购人或者采购代理机构如果对已发出的竞争性磋商文件进行澄清或者修改，将在竞争性磋商文件要求提交磋商响应文件截止时间5日前，以书面形式将澄清或者修改的内容通知所有购买了竞争性磋商文件的供应商，同时在原信息发布媒体上发布更正公告。该澄清或者修改的内容为竞争性磋商文件的组成部分。供应商在收到上述通知后，应立即以书面形式（传真或邮件）向采购代理机构确认。</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9.3已经购买竞争性磋商文件的供应商对竞争性磋商文件有疑问或者认为竞争性磋商文件使自己的权益受到损害的，应当在本项目采购文件公告期限届满之日起7个工作日内，以书面形式向采购代理机构提出询问或者质疑，在此之后提出的询问或者质疑均为无效，采购代理机构不予受理。</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9.4对于在规定时间内收到的供应商依法提出的询问或者质疑，采购代理机构将按政府采购程序及时做出答复，若对竞争性磋商文件做出实质性变动，则按照相关规定延长磋商截止时间。</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9.5供应商提出质疑应当有明确的请求和必要的证明材料。</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9.6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9.7磋商截止时间和磋商时间的延长：在磋商截止时间3日前，采购代理机构可以视采购具体情况，延长磋商截止时间和磋商时间。延长磋商截止时间和磋商时间将在财政部门指定的媒体上发布变更公告，同时将变更时间书面通知所有购买竞争性磋商文件的单位。</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10、答疑会和现场考察（视项目具体情况而定）</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10.1根据采购项目和具体情况，采购代理机构认为有必要，可以组织召磋商前答疑会，或磋商单位可根据自身情况及需要，自行组织踏勘。答疑会或进行现场踏勘的时间，采购人将以书面形式通知所有购买了竞争性磋商文件的供应商。</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10.2供应商踏勘现场所发生的一切费用由供应商自己承担。</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10.3采购人向供应商提供的有关现场的数据和资料，是采购人现有的能被供应商利用的资料，采购人对供应商做出的任何推论、理解和结论均不负责任。一旦成交，成交供应商不得以任何借口，提出额外补偿，或延长合同期限的要求。</w:t>
      </w:r>
    </w:p>
    <w:p>
      <w:pPr>
        <w:pStyle w:val="6"/>
        <w:ind w:firstLine="480"/>
        <w:rPr>
          <w:rFonts w:hint="eastAsia" w:ascii="仿宋" w:hAnsi="仿宋" w:eastAsia="仿宋" w:cs="仿宋"/>
          <w:color w:val="000000" w:themeColor="text1"/>
          <w:highlight w:val="none"/>
        </w:rPr>
      </w:pPr>
    </w:p>
    <w:p>
      <w:pPr>
        <w:spacing w:line="440" w:lineRule="exact"/>
        <w:jc w:val="center"/>
        <w:outlineLvl w:val="2"/>
        <w:rPr>
          <w:rFonts w:hint="eastAsia" w:ascii="仿宋" w:hAnsi="仿宋" w:eastAsia="仿宋" w:cs="仿宋"/>
          <w:b/>
          <w:color w:val="000000" w:themeColor="text1"/>
          <w:sz w:val="24"/>
          <w:szCs w:val="24"/>
          <w:highlight w:val="none"/>
        </w:rPr>
      </w:pPr>
      <w:bookmarkStart w:id="36" w:name="_Toc2483"/>
      <w:bookmarkStart w:id="37" w:name="_Toc32611"/>
      <w:bookmarkStart w:id="38" w:name="_Toc8471"/>
      <w:r>
        <w:rPr>
          <w:rFonts w:hint="eastAsia" w:ascii="仿宋" w:hAnsi="仿宋" w:eastAsia="仿宋" w:cs="仿宋"/>
          <w:b/>
          <w:color w:val="000000" w:themeColor="text1"/>
          <w:sz w:val="24"/>
          <w:szCs w:val="24"/>
          <w:highlight w:val="none"/>
        </w:rPr>
        <w:t>三、磋商响应文件</w:t>
      </w:r>
      <w:bookmarkEnd w:id="36"/>
      <w:bookmarkEnd w:id="37"/>
      <w:bookmarkEnd w:id="38"/>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11、磋商响应文件编制的原则</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11.1供应商应在认真阅读竞争性磋商文件所有内容的基础上，按照竞争性磋商文件的要求编制完整的磋商响应文件。竞争性磋商文件中对磋商响应文件格式有要求的，应按格式逐项填写内容，不准有空项；无相应内容可填的项应填写“无”、“没有相应指标”等明确的回答文字。磋商响应文件中留有空项的，将被视为不完整响应的磋商响应文件，其磋商将有可能被拒绝。</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11.2供应商必须保证磋商响应文件所提供的全部资料真实可靠，并接受对其中任何资料进一步审查的要求。供应商在政府采购过程中提供不真实的材料，无论其材料是否重要，采购人均有权拒绝，并取消其磋商资格，供应商需承担相应的后果及法律责任。</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11.3磋商响应文件须对竞争性磋商文件中的内容做出实质性和完整的响应，否则其磋商将被拒绝。</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12、磋商响应文件的语言</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12.1供应商提交的磋商响应文件和往来信件均须使用中文书写。磋商响应文件中如附有外文资料，必须逐一对应翻译成中文并加盖供应商公章后附在相关外文资料后面，否则，供应商的磋商响应文件将作为无效磋商响应文件处理。</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12.2翻译的中文资料与外文资料如果出现差异和矛盾时，以中文为准。但不能故意错误翻译，否则，供应商的磋商响应文件将作为无效磋商处理。必要时采购人可以要求供应商提供附有公证书的中文翻译文件或者与原版文件签章相一致的中文翻译文件。</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13、计量单位</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除技术规格及要求中另有规定外，本次采购项目下的磋商均采用国家法定的计量单位。</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14、磋商货币</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本次采购项目的磋商均以人民币报价，单位：元。任何包含非人民币报价的磋商响应文件均按无效处理。</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15、知识产权</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15.1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15.2采购人享有本项目实施过程中产生的知识成果及知识产权。</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15.3供应商如欲在项目实施过程中采用自有知识成果，需在磋商响应文件中声明，并提供相关知识产权证明文件。使用该知识成果后，供应商需提供开发接口和开发手册等技术文档，并承诺提供无限期技术支持，采购人享有永久使用权。</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15.4如采用供应商所不拥有的知识产权，则在磋商报价中必须包括合法获取该知识产权的相关费用。</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16、磋商响应文件的组成</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所有采购货物只允许供应商有一个磋商方案，不接受任何有选择的方案和报价（包括有条件的折扣）。供应商未按要求，提供了选择方案报价的，其磋商将被拒绝。供应商编写的磋商响应文件应包括下列内容：</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16.1供应商按照竞争性磋商文件要求做出完全响应，提供的有关资质证明文件。包括以下内容：</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（1）磋商响应函；</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（2）磋商报价；</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（3）必备资格文件；</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（4）供应商近两年类似项目业绩一览表；</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（5）响应方案；</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（6）其他供应商认为需要提供的文件和资料。</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2"/>
          <w:szCs w:val="22"/>
          <w:highlight w:val="none"/>
        </w:rPr>
        <w:t>16.2</w:t>
      </w:r>
      <w:r>
        <w:rPr>
          <w:rFonts w:hint="eastAsia" w:ascii="仿宋" w:hAnsi="仿宋" w:eastAsia="仿宋" w:cs="仿宋"/>
          <w:color w:val="000000" w:themeColor="text1"/>
          <w:sz w:val="24"/>
          <w:szCs w:val="24"/>
          <w:highlight w:val="none"/>
        </w:rPr>
        <w:t>售后服务。供应商按照竞争性磋商文件中售后服务要求做出的积极响应。</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16.3磋商响应文件填写说明</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（1）磋商响应个文件格式：供应商提交的磋商响应文件应当使用竞争性磋商文件规定的全部格式（表格可以按同样格式扩展）编写，装订成册。</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供应商应按竞争性磋商文件中提供的磋商响应文件格式填写“磋商响应函”、“竞争性磋商报价一览表”、“分项报价表”以及其他相关文件，注明提供的货物名称、规格型号、单位、数量、价格、技术参数、原产地、性能说明等。</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b/>
          <w:color w:val="000000" w:themeColor="text1"/>
          <w:kern w:val="0"/>
          <w:sz w:val="24"/>
          <w:szCs w:val="24"/>
          <w:highlight w:val="none"/>
        </w:rPr>
        <w:t>17、磋商报价</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17.1供应商应按照“供应商须知前附表”中的规定和要求报价，任何不符合报价要求的磋商将按照无效磋商处理。</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17.2供应商应按照磋商报价表的内容标明磋商的所有单项价格和总价。磋商报价是完成招标内容所需的全部费用。磋商报价表成交明的价格应为履行合同的固定价格，不得以任何理由予以变更。</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17.3供应商应在响应报价表中标明本次招标所要求的货物、服务且验收合格的所有费用，包括货物报价、包装费、运杂费（含保险）、仓储保管费、检测费、人工费、退换货费用、税金及进口产品国家按现行税收政策征收的一切税费等。在合同实施期间，响应报价表中标明服务的单价，不受市场价变化的影响，不受实际数量变化的影响。任何有选择的报价将不予接受，否则按无效响应处理。</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17.4如果在竞争性磋商文件中没有允许提供备选方案，则每个供应商只允许提交一个磋商方案，否则，其磋商按照无效磋商处理。如果允许提供备选方案，则按照评审方法中的规定对备选方案进行评审。</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17.5凡因供应商对竞争性磋商文件阅读不深、理解不透、误解、疏漏、或因市场行情了解不清造成的后果和风险均由供应商自行负责。</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17.6磋商过程中所产生的一切费用由供应商自行承担。</w:t>
      </w:r>
    </w:p>
    <w:p>
      <w:pPr>
        <w:autoSpaceDE w:val="0"/>
        <w:autoSpaceDN w:val="0"/>
        <w:adjustRightInd w:val="0"/>
        <w:spacing w:line="440" w:lineRule="exact"/>
        <w:ind w:right="6" w:firstLine="420"/>
        <w:rPr>
          <w:rFonts w:hint="eastAsia" w:ascii="仿宋" w:hAnsi="仿宋" w:eastAsia="仿宋" w:cs="仿宋"/>
          <w:color w:val="000000" w:themeColor="text1"/>
          <w:highlight w:val="none"/>
        </w:rPr>
      </w:pPr>
      <w:r>
        <w:rPr>
          <w:rFonts w:hint="eastAsia" w:ascii="仿宋" w:hAnsi="仿宋" w:eastAsia="仿宋" w:cs="仿宋"/>
          <w:color w:val="000000" w:themeColor="text1"/>
          <w:sz w:val="24"/>
          <w:szCs w:val="24"/>
          <w:highlight w:val="none"/>
        </w:rPr>
        <w:t>17.7最低报价不是成交的唯一依据。</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18、证明供应商资格的证明文件</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18.1供应商须按竞争性磋商文件的要求，提交证明文件（同时在磋商响应文件中提交合格的资格证明文件加盖公章的复印件），以证明其有资格参加磋商和成交后有履行合同的能力，并作为其磋商响应文件的一部分。如果资格证明文件不全或不合格的，其磋商将按无效磋商响应文件处理。</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18.2供应商还应按照竞争性磋商文件的要求，提交其他的证明其实力、信誉、业绩等的证明文件。</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18.3如果“供应商须知前附表”有要求，供应商还应按照要求提交资格或其他证明文件的原件。如果未能提供原件或者提供原件不全的，其磋商按照无效磋商处理。</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18.4供应商认为能够证明供应商及其提供产品质量认证等证明文件或提供生产厂家确认的、相应的功能证明材料等（包括但不限于：检测/测试报告、计量证书、生产许可证、3Ｃ等强制准入及认证等）。</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18.5若供应商提供的货物及服务不是供应商生产或拥有的，提供产品来源渠道合法的证明文件（包括但不限于销售协议、代理协议、原厂授权等）；特殊商品（如需延长质保期的）只允许磋商产品的生产制造商总部参加磋商或者生产制造商总部全权委托一家代理商参加。</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19、证明货物的合格性和符合竞争性磋商文件规定的文件</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19.1供应商应对竞争性磋商文件中的各项条款做出清晰准确的答复，同时应在磋商响应文件中提交货物及服务满足竞争性磋商文件要求并符合国家法律法规、行业管理部门要求的其他强制性标准的证明及文件。</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19.2证明货物与竞争性磋商文件的要求相一致的文件，它可以是文字资料、图表、数据、证书、业主证明等（支撑材料应能令采购人相信磋商产品是全新未经使用且属于常规提供的，不是为了满足磋商而临时定制的产品），所有证明文件表达意思必须统一，包括但不限于：</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提供详细的响应方案。根据竞争性磋商文件提供的项目需求方案提供对应的响应方案，详细的响应方案必须满足采购人项目需求。根据详细的响应方案列出涉及的货物，逐条说明所提供货物和服务对采购人的技术和商务要求是否做出了实质性响应并提供支持文件，或申明与技术要求条文的偏差和例外（填写“技术规格偏离表”和附加详细说明）；</w:t>
      </w:r>
    </w:p>
    <w:p>
      <w:pPr>
        <w:numPr>
          <w:ilvl w:val="0"/>
          <w:numId w:val="13"/>
        </w:num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货物的主要技术指标和性能的详细说明，至少要包括对竞争性磋商文件提出的指标的响应（填写“货物（产品）说明一览表”，附加产品印刷样本、检测报告，认定证书等）；</w:t>
      </w:r>
    </w:p>
    <w:p>
      <w:pPr>
        <w:autoSpaceDE w:val="0"/>
        <w:autoSpaceDN w:val="0"/>
        <w:adjustRightInd w:val="0"/>
        <w:spacing w:line="440" w:lineRule="exact"/>
        <w:ind w:left="420"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（3）设备配置、供货范围和服务内容的详细说明；</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（4）供应商书面承诺：将承担起如竞争性磋商文件要求的、对合同组成部分进行集成和协调的责任，并提供培训计划和服务承诺书。</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（5）样品、真机及演示要求（如有。如需供应商提供样品，证明文件的表述与供应商所提供样品必须完全符合，且是磋商响应文件的组成部分，否则，按未实质响应竞争性磋商文件予以拒绝）。</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19.3  供应商提供的货物在中华人民共和国境内拥有合法的使用权。</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19.4  缺少上述证明及文件或证明及文件不合格的磋商，与竞争性磋商文件要求有重大偏离的磋商，不符合国家法律法规、行业管理部门要求的其他强制性标准的磋商将按照无效磋商处理。</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20、享受政府采购政策</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20.1所投产品符合政府采购强制采购政策的，实行强制采购。</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20.2符合政府采购优先采购政策的，所投产品属于“节能产品政府采购清单”中品目的产品，需提供最新一期“节能产品政府采购清单”中磋商产品所在清单页并加盖供应商公章。该清单可在中国政府采购网（http://www.ccgp.gov.cn/）、中国环境资源信息网（http://www.cern.gov.cn/）、中国节能节水认证网（http://www.cecp.org.cn/）上查找；所投产品属于“环境标志产品政府采购清单”中品目的产品，需提供最新一期“环境标志产品政府采购清单”中磋商产品所在清单页并加盖供应商公章。该清单可在中国政府采购网（http://www.ccgp.gov.cn/）、国家环境保护总局网（http://www.sepa.gov.cn/）、中国绿色采购网（http://www.cgpn. cn/）上查找。</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20.3供应商享受支持中小型企业发展政策优惠的，可以同时享受节能产品、环境标志产品优先采购政策。依照《财政部、司法部关于政府采购支持监狱企业发展有关问题的通知》（财库〔2014〕68号）之规定，监狱企业参加政府采购活动时，视同中小企业。同一项目中部分产品属于优先采购政策的，评审时只对该部分产品实行优先采购。</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（1）参加政府采购活动的中小企业应当提供《中小企业声明函》（见磋商响应文件格式），不提供的或提供有瑕疵的，在评审时不享受政府采购优惠政策。</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（2）组成联合体的大中型企业与联合体中的中小企业之间不得存在投资关系；</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（3）参加政府采购活动的监狱企业应当提供由省级以上监狱管理局、戒毒管理局出具的属于监狱企业的证明文件，不提供的不视为中小企业。</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（4）残疾人福利性企业应符合《关于促进残疾人就业政府采购政策的通知》的规定；</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21、磋商保证金</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21.1供应商磋商时，须按照“供应商须知前附表”的要求，以人民币提交足额的磋商保证金，其有效期与磋商有效期一致，并作为其磋商的一部分。联合磋商的，应当以联合体各方或者联合体中牵头人的名义提交磋商保证金。以联合体牵头单位提交磋商保证金的，对联合体各方均具有约束力。</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21.2磋商保证金的提交：</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（1）磋商现场不办理磋商保证金事宜。未按竞争性磋商文件要求在规定时间前（以银行实际到账时间为准）交纳规定数额磋商保证金的磋商将被拒绝。</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（2）磋商保证金以银行转账或者金融机构、担保机构出具的保函等非现金形式提交。</w:t>
      </w:r>
    </w:p>
    <w:p>
      <w:pPr>
        <w:autoSpaceDE w:val="0"/>
        <w:autoSpaceDN w:val="0"/>
        <w:adjustRightInd w:val="0"/>
        <w:spacing w:line="440" w:lineRule="exact"/>
        <w:ind w:right="6" w:firstLine="638" w:firstLineChars="26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①采用银行转账缴纳保证金的，可以采取支票、电汇、网银、汇票等方式，从其基本账户转出。</w:t>
      </w:r>
    </w:p>
    <w:p>
      <w:pPr>
        <w:autoSpaceDE w:val="0"/>
        <w:autoSpaceDN w:val="0"/>
        <w:adjustRightInd w:val="0"/>
        <w:spacing w:line="440" w:lineRule="exact"/>
        <w:ind w:right="6" w:firstLine="638" w:firstLineChars="26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②以信用担保函形式交纳保证金的，应按竞争性磋商文件规定的格式提交，且是陕西省有关部门认定的具有开具磋商保函资格的单位开具的保函。供应商违约，开具保函单位承担连带责任。</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21.3磋商后经审查，未按照竞争性磋商文件要求交纳磋商保证金的、已交纳的磋商保证金金额不足的或有效期不足的，其磋商按照无效磋商处理。</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21.4退还磋商保证金：</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（1）未成交的供应商的磋商保证金，将于成交通知书发出后5个工作日内予以退还（不计利息）。</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（2）成交供应商的磋商保证金，在成交供应商与采购人签订合同后5个工作日内予以退还（不计利息）。成交供应商办理退还磋商保证金手续时，须持采购合同复印件，到采购代理机构的财务部门办理。</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（3）未及时办理退还者，由供应商自行负责。</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（4）下列任何情况发生时，采购代理机构将不予退还其交纳的磋商保证金：</w:t>
      </w:r>
    </w:p>
    <w:p>
      <w:pPr>
        <w:autoSpaceDE w:val="0"/>
        <w:autoSpaceDN w:val="0"/>
        <w:adjustRightInd w:val="0"/>
        <w:spacing w:line="440" w:lineRule="exact"/>
        <w:ind w:right="6" w:firstLine="638" w:firstLineChars="26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①供应商在磋商响应文件中提供虚假材料的；</w:t>
      </w:r>
    </w:p>
    <w:p>
      <w:pPr>
        <w:autoSpaceDE w:val="0"/>
        <w:autoSpaceDN w:val="0"/>
        <w:adjustRightInd w:val="0"/>
        <w:spacing w:line="440" w:lineRule="exact"/>
        <w:ind w:right="6" w:firstLine="638" w:firstLineChars="26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②除因不可抗力或竞争性磋商文件认可的情形以外，成交单位不与采购人签订合同的；</w:t>
      </w:r>
    </w:p>
    <w:p>
      <w:pPr>
        <w:autoSpaceDE w:val="0"/>
        <w:autoSpaceDN w:val="0"/>
        <w:adjustRightInd w:val="0"/>
        <w:spacing w:line="440" w:lineRule="exact"/>
        <w:ind w:right="6" w:firstLine="638" w:firstLineChars="26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③由于成交单位的原因未能在规定时间内领取《成交通知书》的；</w:t>
      </w:r>
    </w:p>
    <w:p>
      <w:pPr>
        <w:autoSpaceDE w:val="0"/>
        <w:autoSpaceDN w:val="0"/>
        <w:adjustRightInd w:val="0"/>
        <w:spacing w:line="440" w:lineRule="exact"/>
        <w:ind w:right="6" w:firstLine="638" w:firstLineChars="26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④成交单位未能按规定支付采购代理服务费的；</w:t>
      </w:r>
    </w:p>
    <w:p>
      <w:pPr>
        <w:autoSpaceDE w:val="0"/>
        <w:autoSpaceDN w:val="0"/>
        <w:adjustRightInd w:val="0"/>
        <w:spacing w:line="440" w:lineRule="exact"/>
        <w:ind w:right="6" w:firstLine="638" w:firstLineChars="26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⑤法律法规规定的其他情况。</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22、磋商有效期</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22.1磋商有效期见供应商须知前附表。磋商有效期短于此规定期限的磋商，将被拒绝。在有效期内磋商响应文件对供应商具有法律约束力，以保证采购人完成评审、定标以及合同签订事项。成交单位的磋商响应文件有效期自动延长至合同执行完毕。</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22.2特殊情况需延长磋商有效期的，采购代理机构可于磋商有效期届满之前，要求供应商同意延长有效期，采购代理机构的要求与供应商的答复均应为书面形式。供应商拒绝延长的，其磋商在原磋商有效期期届满后将不再有效，但有权收回其磋商保证金；供应商同意延长的，应相应延长其磋商保证金的有效期，但不允许修改或撤回磋商响应文件。</w:t>
      </w:r>
    </w:p>
    <w:p>
      <w:pPr>
        <w:spacing w:line="440" w:lineRule="exact"/>
        <w:jc w:val="center"/>
        <w:outlineLvl w:val="2"/>
        <w:rPr>
          <w:rFonts w:hint="eastAsia" w:ascii="仿宋" w:hAnsi="仿宋" w:eastAsia="仿宋" w:cs="仿宋"/>
          <w:b/>
          <w:color w:val="000000" w:themeColor="text1"/>
          <w:sz w:val="24"/>
          <w:szCs w:val="24"/>
          <w:highlight w:val="none"/>
        </w:rPr>
      </w:pPr>
      <w:bookmarkStart w:id="39" w:name="_Toc29259"/>
      <w:bookmarkStart w:id="40" w:name="_Toc2655"/>
      <w:bookmarkStart w:id="41" w:name="_Toc4689"/>
      <w:r>
        <w:rPr>
          <w:rFonts w:hint="eastAsia" w:ascii="仿宋" w:hAnsi="仿宋" w:eastAsia="仿宋" w:cs="仿宋"/>
          <w:b/>
          <w:color w:val="000000" w:themeColor="text1"/>
          <w:sz w:val="24"/>
          <w:szCs w:val="24"/>
          <w:highlight w:val="none"/>
        </w:rPr>
        <w:t>四、磋商响应文件的制作及递交</w:t>
      </w:r>
      <w:bookmarkEnd w:id="39"/>
      <w:bookmarkEnd w:id="40"/>
      <w:bookmarkEnd w:id="41"/>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23、磋商响应文件的制作和签署</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23.1供应商应按“供应商须知前附表”要求提供磋商响应文件的份数。磋商单位须依据竞争性磋商文件内容和磋商响应文件格式的要求编制磋商响应文件。供应商应填写全称，同时按竞争性磋商文件要求加盖公章，签署、盖章和内容应完整，如有遗漏，将被视为无效磋商。</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23.2供应商应按“供应商须知前附表”准备磋商响应文件正本、副本及相应的电子文档。磋商响应文件的正本和所有的副本均须用A4纸打印或用不褪色的蓝（黑）墨水填写，字迹应清晰易于辨认，并应在磋商响应文件封面的右上角清楚地注明“正本”或“副本”。统一胶装、编码，在每一页的正下方清楚标明共几页、第几页等字样；若正本和副本有不一致的内容，以正本书面磋商响应文件为准。电子版磋商响应文件按“供应商须知前附表”要求制作。</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23.3除供应商对错处作必要修改外，磋商响应文件中不许有加行、涂抹或改写。若有修改须由签署磋商响应文件的委托代理人在旁边签字才有效。字迹潦草、表达不清或可能导致非唯一理解的磋商响应文件可能视为无效磋商。</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23.4采购人拒绝接受以电报、电话、传真、电子邮件形式的磋商。</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24、磋商响应文件的密封和标注</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24.1磋商响应文件的装订要求，按供应商须知前附表进行装订。</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24.2纸质版磋商响应文件必须密封递交。对封装材料及样式不作特别规定，但供应商应当保证其封装的可靠性，不致因搬运、堆放等原因散开。磋商时，供应商应当将磋商响应文件正本以密封袋单独密封，所有的副本以密封袋单独密封，或者正、副本密封袋放入一个密封包装箱里。所有密封袋正面和磋商响应文件封面须标明采购项目名称、采购项目编号、供应商名称及“正本”、“副本”字样。电子版磋商文件随正本文件一起密封。</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24.3供应商应在磋商响应文件正本、副本的封面上注明供应商名称、项目名称、项目编号、分包号（如有分包）。</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24.4所有磋商响应文件的密封袋的封口处应加盖供应商公章和法定代表人章（或委托代理人签字）。</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24.5如果未按上述规定进行密封和标记，供应商的磋商响应文件有权被拒绝。</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25、磋商响应文件的递交</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25.1磋商响应文件的截止时间及磋商地点见本须知前附表的规定，供应商应在竞争性磋商文件规定的磋商截止时间前，将磋商响应文件按供应商须知前附表的规定密封后送达磋商地点。磋商截止时间以后送达的磋商响应文件将被拒绝。</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25.2采购代理机构项目接收人在竞争性磋商文件规定的磋商响应文件递交截止时间前，只负责磋商响应文件的接收、清点、造册登记工作，并请递交人签字确认，对其有效性不负任何责任。</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25.3递交磋商响应文件截止时间止，若收到的磋商响应文件少于3个，采购人将报请监督管理机构批准变更采购方式或择日重新组织招标；</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25.4  采购人可按本须知的规定以修改补充通知的方式，酌情延长提交磋商响应文件的截止时间。在此情况下，供应商的所有权利和义务以及供应商受制约的截止时间，均以延长后新的磋商截止时间为准。</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25.5本次招标不接受邮寄的磋商响应文件。</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26、磋商响应文件的补充、修改和撤回</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26.1供应商在递交磋商响应文件以后，可以修改或撤回其磋商响应文件，但必须在规定的磋商截止时间前，且以书面形式通知采购人。补充、修改的内容为磋商响应文件的组成部分。</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26.2供应商对磋商响应文件的修改、补充和撤回，应按本须知的有关规定密封、标记和提交，并在磋商响应文件密封袋上清楚标明“补充、修改”或“撤回”字样。采购代理机构不退还供应商已撤回的磋商响应文件（包括纸质和电子版）。</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26.3在磋商截止时间之后，供应商不得对其递交的磋商响应文件做任何补充、修改或撤回磋商。</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26.4在磋商截止时间至磋商有效期满之前，供应商不得撤回其磋商响应文件，否则其磋商保证金将被没收。</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27、磋商纪律要求</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27.1供应商参加磋商不得有下列情形：</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（1）提供虚假材料谋取成交；</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（2）采取不正当手段诋毁、排挤其他供应商；</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（3）与采购单位、其他供应商恶意串通；</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（4）向采购人、采购代理机构单位、磋商小组成员行贿或者提供其他不正当利益；</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（5）在采购过程中与采购单位进行协商谈判；</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（6）拒绝有关部门的监督检查或者向监督检查部门提供虚假情况。</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有上述情形之一的供应商，属于不合格供应商，其磋商或成交资格将被取消。</w:t>
      </w:r>
    </w:p>
    <w:p>
      <w:pPr>
        <w:pStyle w:val="6"/>
        <w:rPr>
          <w:rFonts w:hint="eastAsia" w:ascii="仿宋" w:hAnsi="仿宋" w:eastAsia="仿宋" w:cs="仿宋"/>
          <w:color w:val="000000" w:themeColor="text1"/>
          <w:highlight w:val="none"/>
        </w:rPr>
      </w:pPr>
    </w:p>
    <w:p>
      <w:pPr>
        <w:spacing w:line="440" w:lineRule="exact"/>
        <w:jc w:val="center"/>
        <w:outlineLvl w:val="2"/>
        <w:rPr>
          <w:rFonts w:hint="eastAsia" w:ascii="仿宋" w:hAnsi="仿宋" w:eastAsia="仿宋" w:cs="仿宋"/>
          <w:b/>
          <w:color w:val="000000" w:themeColor="text1"/>
          <w:sz w:val="24"/>
          <w:szCs w:val="24"/>
          <w:highlight w:val="none"/>
        </w:rPr>
      </w:pPr>
      <w:bookmarkStart w:id="42" w:name="_Toc28469"/>
      <w:bookmarkStart w:id="43" w:name="_Toc13340"/>
      <w:bookmarkStart w:id="44" w:name="_Toc18066"/>
      <w:r>
        <w:rPr>
          <w:rFonts w:hint="eastAsia" w:ascii="仿宋" w:hAnsi="仿宋" w:eastAsia="仿宋" w:cs="仿宋"/>
          <w:b/>
          <w:color w:val="000000" w:themeColor="text1"/>
          <w:sz w:val="24"/>
          <w:szCs w:val="24"/>
          <w:highlight w:val="none"/>
        </w:rPr>
        <w:t>五、磋商</w:t>
      </w:r>
      <w:bookmarkEnd w:id="42"/>
      <w:bookmarkEnd w:id="43"/>
      <w:bookmarkEnd w:id="44"/>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28、磋商时间和地点</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28.1采购代理机构在供应商须知前附表中规定的磋商截止时间和地点组织公开磋商，采购人、供应商须派代表参加并签到以证明其出席。</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28.2按规定提交合格的撤回通知的磋商响应文件不予开封，并退还给供应商；按本须知规定为无效的磋商响应文件，不予送交磋商小组评审。</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29、磋商</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29.1磋商会议由采购代理机构主持；</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29.2磋商会议开始，由供应商的法人代表或授权代表与监督管理机构代表当众共同检查磋商响应文件的密封情况，签字确认并宣读检查结果。未通过密封性审查的按无效磋商响应文件处理，并退回供应商。</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29.3磋商开始后，在磋商小组对响应文件进行评审时，依据磋商文件规定的程序、评定成交的标准等事项与实质性响应磋商文件要求的报价人进行磋商。未实质性响应磋商文件的响应文件按无效处理，磋商小组将告知有关报价人。</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29.4磋商小组所有成员集中与单一报价人分别进行磋商，并给予所有参加磋商的报价人平等的磋商机会。</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29.5在磋商过程中，磋商小组可以根据磋商文件和磋商情况实质性变动采购需求中的技术、服务要求以及合同草案条款。所有变动内容均是磋商文件的有效组成部分，磋商小组将以书面形式同时通知所有参加磋商的报价人。</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29.6 参加磋商的报价人应当按照磋商文件的变动情况和磋商小组的要求重新提交响应文件，并由其法定代表人或授权代表签字或者加盖公章。由授权代表签字的，应当附法定代表人授权书。报价人为自然人的，应当由本人签字并附身份证明。</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29.7磋商结束后，磋商小组要求所有继续参加磋商的报价人在规定时间内提交最后报价，最后报价是报价人响应文件的有效组成部分。</w:t>
      </w:r>
    </w:p>
    <w:p>
      <w:pPr>
        <w:autoSpaceDE w:val="0"/>
        <w:autoSpaceDN w:val="0"/>
        <w:adjustRightInd w:val="0"/>
        <w:spacing w:line="440" w:lineRule="exact"/>
        <w:ind w:right="6"/>
        <w:jc w:val="center"/>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六、评审</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30、磋商小组</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30.1采购人将根据本次采购项目的特点，参照《中华人民共和国政府采购法》、中华人民共和国2015年第658号国务院令--《中华人民共和国政府采购法实施条例》和《政府采购竞争性磋商采购方式管理暂行办法》等政策法规的规定，依法组建磋商小组。磋商小组按照竞争性磋商文件规定的评审方法独立进行评审工作。</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30.2磋商小组成员到位后，推荐一名评审专家担任评审组长，并由评审组长牵头组织该项目评审工作，采购人授权的评审专家，不得担任评审组长。</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30.3磋商小组成员有下列情形之一的，应当回避：</w:t>
      </w:r>
    </w:p>
    <w:p>
      <w:pPr>
        <w:numPr>
          <w:ilvl w:val="0"/>
          <w:numId w:val="14"/>
        </w:num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采购人或供应商的主要负责人的近亲属；</w:t>
      </w:r>
    </w:p>
    <w:p>
      <w:pPr>
        <w:numPr>
          <w:ilvl w:val="0"/>
          <w:numId w:val="14"/>
        </w:num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项目主管部门或者行政监督部门的人员；</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（3）与供应商有经济利益关系，可能影响对磋商公正评审的；</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（4）曾因在招标、评审以及其他与招标磋商有关活动中从事违法行为而受过行政处罚或刑事处罚的。</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30.4竞争性磋商文件和磋商响应文件是评审的依据。在评审中，不得改变竞争性磋商文件中规定的评审标准、方法和成交条件。供应商不得在磋商后使用任何方式对磋商响应文件的实质性内容做任何更改。</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30.5在评审期间，对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磋商响应文件的范围或者改变磋商响应文件的实质性内容。</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30.6如果供应商在澄清规定期限内，未能答复或拒绝答复磋商小组提出的澄清要求，将由磋商小组根据其磋商响应文件按最大风险进行评审。</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30.7磋商小组成员对各供应商磋商响应文件进行审查、质疑、评估和比较，并推荐出3名成交候选人。</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31、评审原则</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评审原则应遵循公平、公正、科学和择优的原则，并以相同的评审程序和标准对待所有的供应商。</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32、评审</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32.1磋商小组严格按照《政府采购货物和服务招标磋商管理办法》（财政部第87号令）规定的程序和竞争性磋商文件规定的评审办法及标准对各磋商响应文件进行评审。</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32.2磋商小组负责具体评审事务，并独立履行下列职责：</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（1）审查磋商响应文件是否符合竞争性磋商文件要求，并做出评价；</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（2）以书面形式要求供应商就磋商响应文件中含义不明确的内容及有关事项做出解释或者澄清，并提供相关材料；</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（3）推荐成交候选供应商名单，或者受采购人委托按照事先确定的办法直接确定成交供应商；</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（4）配合采购人、采购代理机构答复各供应商提出的质疑；</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（5）向采购单位或者有关部门报告非法干预评审工作的行为。</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32.3评审过程严格保密</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（1）磋商小组成员和与评审活动有关的工作人员不得泄露有关磋商响应文件的评审和比较、成交候选人的推荐以及与评审有关的其他情况。</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（2）在评审过程中，如果供应商试图在磋商响应文件的评审和比较、成交候选人的推荐以及与评审有关的其他方面，向评审人、采购人和采购代理机构施加任何影响的任何行为，都将会导致其磋商被拒绝。</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成交供应商确定后，采购人和代理机构不对未成交供应商就评审过程以及未能成交原因作出任何解释。未成交供应商不得向磋商小组组成人员或其他有关人员索问评审过程的情况和材料，其磋商响应文件不予退还（含纸质及电子版文件）。</w:t>
      </w:r>
    </w:p>
    <w:p>
      <w:pPr>
        <w:pStyle w:val="6"/>
        <w:rPr>
          <w:rFonts w:hint="eastAsia" w:ascii="仿宋" w:hAnsi="仿宋" w:eastAsia="仿宋" w:cs="仿宋"/>
          <w:color w:val="000000" w:themeColor="text1"/>
          <w:highlight w:val="none"/>
        </w:rPr>
      </w:pPr>
    </w:p>
    <w:p>
      <w:pPr>
        <w:spacing w:line="440" w:lineRule="exact"/>
        <w:jc w:val="center"/>
        <w:outlineLvl w:val="2"/>
        <w:rPr>
          <w:rFonts w:hint="eastAsia" w:ascii="仿宋" w:hAnsi="仿宋" w:eastAsia="仿宋" w:cs="仿宋"/>
          <w:b/>
          <w:color w:val="000000" w:themeColor="text1"/>
          <w:sz w:val="24"/>
          <w:szCs w:val="24"/>
          <w:highlight w:val="none"/>
        </w:rPr>
      </w:pPr>
      <w:bookmarkStart w:id="45" w:name="_Toc21502"/>
      <w:bookmarkStart w:id="46" w:name="_Toc2305"/>
      <w:bookmarkStart w:id="47" w:name="_Toc5577"/>
      <w:r>
        <w:rPr>
          <w:rFonts w:hint="eastAsia" w:ascii="仿宋" w:hAnsi="仿宋" w:eastAsia="仿宋" w:cs="仿宋"/>
          <w:b/>
          <w:color w:val="000000" w:themeColor="text1"/>
          <w:sz w:val="24"/>
          <w:szCs w:val="24"/>
          <w:highlight w:val="none"/>
        </w:rPr>
        <w:t>七、定标</w:t>
      </w:r>
      <w:bookmarkEnd w:id="45"/>
      <w:bookmarkEnd w:id="46"/>
      <w:bookmarkEnd w:id="47"/>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33、定标原则</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采购人根据磋商小组推荐的成交候选人名单，按顺序确定成交供应商。</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34、定标程序</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34.1磋商小组根据评审办法的规定对供应商进行评审排序，推荐一个以上三个以下成交候选人，形成评审报告，评审报告由磋商小组全体成员签字确认。</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34.2采购代理机构应在评审结束后2个工作日内，将评审报告送采购人定标。</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34.3采购人在收到评审报告后5个工作日内，根据评审报告中推荐的成交候选人排列顺序，确定排名第一的为成交供应商，也可以书面授权磋商小组评审后直接确定成交供应商，同时复函采购代理机构。</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34.4采购代理机构在接到采购人的定标复函之日起2个工作日内，根据采购人确定的成交供应商，在财政部门指定的政府采购信息发布媒体上公告。</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34.5  采购单位不解释成交或落标原因，未成交供应商不得向磋商小组组成人员或其他有关人员索问评审过程的情况和材料。不退回磋商响应文件和其他磋商资料。</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34.6  供应商对成交公告有异议的，按照《中华人民共和国政府采购法》第五十二条之规定执行。提出质疑的供应商应当有明确的请求和必要的证明材料，应保证提出的质疑内容及相应证明材料的真实性及来源的合法性，并承担相应的法律责任。</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34.7  成交供应商拒绝与采购人签订合同的，采购人可以按照评审报告推荐的成交候选人名单排序，确定下一候选人为成交供应商，或重新开展政府采购活动。</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35、成交通知书</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35.1成交供应商确定之后，</w:t>
      </w:r>
      <w:r>
        <w:rPr>
          <w:rFonts w:hint="eastAsia" w:ascii="仿宋" w:hAnsi="仿宋" w:eastAsia="仿宋" w:cs="仿宋"/>
          <w:color w:val="000000" w:themeColor="text1"/>
          <w:sz w:val="24"/>
          <w:szCs w:val="24"/>
          <w:highlight w:val="none"/>
          <w:lang w:eastAsia="zh-CN"/>
        </w:rPr>
        <w:t>正大鹏安建设项目管理有限公司</w:t>
      </w:r>
      <w:r>
        <w:rPr>
          <w:rFonts w:hint="eastAsia" w:ascii="仿宋" w:hAnsi="仿宋" w:eastAsia="仿宋" w:cs="仿宋"/>
          <w:color w:val="000000" w:themeColor="text1"/>
          <w:sz w:val="24"/>
          <w:szCs w:val="24"/>
          <w:highlight w:val="none"/>
        </w:rPr>
        <w:t>将发出《成交通知书》。</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35.2成交通知书为签订政府采购合同的依据，是合同的重要组成部分。</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35.3成交通知书对采购人和成交供应商均具有法律效力。成交通知书发出后，采购人改变成交结果，或者成交供应商无正当理由放弃成交的，应当承担相应的法律责任。</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35.4成交供应商在接到采购代理机构通知之日起7日内领取《成交通知书》。如果已成交的供应商不能按磋商响应文件，包括补充文件（如澄清、承诺等）中承诺的条件履行签约行为，采购人有权取消其成交资格，并扣除其磋商保证金。</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35.5在《成交通知书》发出后，发现成交供应商有政府采购法律法规规章制度规定的成交无效情形的，采购代理机构在取得监督管理机构的认定以后，应当宣布发出的《成交通知书》无效，并收回发出的《成交通知书》（成交供应商也应当缴回），依法重新确定成交供应商或者重新开展采购活动。</w:t>
      </w:r>
    </w:p>
    <w:p>
      <w:pPr>
        <w:autoSpaceDE w:val="0"/>
        <w:autoSpaceDN w:val="0"/>
        <w:adjustRightInd w:val="0"/>
        <w:spacing w:line="440" w:lineRule="exact"/>
        <w:ind w:right="6"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35.6若排名第一的成交候选人放弃成交、因不可抗力不能履行合同、或者被查实存在影响成交结果的违法行为等情形，不符合成交条件的，采购人可以按照磋商小组提出的成交候选人名单排序依次确定其他成交候选人为成交供应商，也可以重新招标。属于自身原因放弃成交者将失去其磋商保证金。</w:t>
      </w:r>
    </w:p>
    <w:p>
      <w:pPr>
        <w:pStyle w:val="6"/>
        <w:ind w:firstLine="480"/>
        <w:rPr>
          <w:rFonts w:hint="eastAsia" w:ascii="仿宋" w:hAnsi="仿宋" w:eastAsia="仿宋" w:cs="仿宋"/>
          <w:color w:val="000000" w:themeColor="text1"/>
          <w:highlight w:val="none"/>
        </w:rPr>
      </w:pPr>
    </w:p>
    <w:p>
      <w:pPr>
        <w:spacing w:line="440" w:lineRule="exact"/>
        <w:jc w:val="center"/>
        <w:outlineLvl w:val="2"/>
        <w:rPr>
          <w:rFonts w:hint="eastAsia" w:ascii="仿宋" w:hAnsi="仿宋" w:eastAsia="仿宋" w:cs="仿宋"/>
          <w:b/>
          <w:color w:val="000000" w:themeColor="text1"/>
          <w:sz w:val="24"/>
          <w:szCs w:val="24"/>
          <w:highlight w:val="none"/>
        </w:rPr>
      </w:pPr>
      <w:bookmarkStart w:id="48" w:name="_Toc6367"/>
      <w:bookmarkStart w:id="49" w:name="_Toc11302"/>
      <w:bookmarkStart w:id="50" w:name="_Toc25988"/>
      <w:r>
        <w:rPr>
          <w:rFonts w:hint="eastAsia" w:ascii="仿宋" w:hAnsi="仿宋" w:eastAsia="仿宋" w:cs="仿宋"/>
          <w:b/>
          <w:color w:val="000000" w:themeColor="text1"/>
          <w:sz w:val="24"/>
          <w:szCs w:val="24"/>
          <w:highlight w:val="none"/>
        </w:rPr>
        <w:t>八、废标</w:t>
      </w:r>
      <w:bookmarkEnd w:id="48"/>
      <w:bookmarkEnd w:id="49"/>
      <w:bookmarkEnd w:id="50"/>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36、废标的情形</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磋商采购中，出现下列情形之一的，予以废标：</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（1）出现影响采购公正的违法、违规行为的；</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（2）供应商的磋商报价均超过了采购预算，采购人不能支付的；</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（3）磋商小组三分之二以上的评委认定所有磋商报价存在价格不实的现象；</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（4）有证据证明有围标现象的发生；</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（5）有证据证明有《中华人民共和国财政部令第87号》第37条窜标情形的；</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（6）因重大变故，采购任务取消的。</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废标后，采购代理机构应在财政部门指定采购网上公告，并公告废标的详细理由。</w:t>
      </w:r>
    </w:p>
    <w:p>
      <w:pPr>
        <w:spacing w:line="440" w:lineRule="exact"/>
        <w:jc w:val="center"/>
        <w:outlineLvl w:val="2"/>
        <w:rPr>
          <w:rFonts w:hint="eastAsia" w:ascii="仿宋" w:hAnsi="仿宋" w:eastAsia="仿宋" w:cs="仿宋"/>
          <w:b/>
          <w:color w:val="000000" w:themeColor="text1"/>
          <w:sz w:val="24"/>
          <w:szCs w:val="24"/>
          <w:highlight w:val="none"/>
        </w:rPr>
      </w:pPr>
    </w:p>
    <w:p>
      <w:pPr>
        <w:spacing w:line="440" w:lineRule="exact"/>
        <w:jc w:val="center"/>
        <w:outlineLvl w:val="2"/>
        <w:rPr>
          <w:rFonts w:hint="eastAsia" w:ascii="仿宋" w:hAnsi="仿宋" w:eastAsia="仿宋" w:cs="仿宋"/>
          <w:b/>
          <w:color w:val="000000" w:themeColor="text1"/>
          <w:sz w:val="24"/>
          <w:szCs w:val="24"/>
          <w:highlight w:val="none"/>
        </w:rPr>
      </w:pPr>
      <w:bookmarkStart w:id="51" w:name="_Toc14814"/>
      <w:bookmarkStart w:id="52" w:name="_Toc2265"/>
      <w:bookmarkStart w:id="53" w:name="_Toc11085"/>
      <w:r>
        <w:rPr>
          <w:rFonts w:hint="eastAsia" w:ascii="仿宋" w:hAnsi="仿宋" w:eastAsia="仿宋" w:cs="仿宋"/>
          <w:b/>
          <w:color w:val="000000" w:themeColor="text1"/>
          <w:sz w:val="24"/>
          <w:szCs w:val="24"/>
          <w:highlight w:val="none"/>
        </w:rPr>
        <w:t>九、合同授予</w:t>
      </w:r>
      <w:bookmarkEnd w:id="51"/>
      <w:bookmarkEnd w:id="52"/>
      <w:bookmarkEnd w:id="53"/>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37、签订合同</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37.1采购人应当自《成交通知书》发出之日起30日内，按照竞争性磋商文件和成交供应商磋商响应文件（包括评审中形成的澄清文件）的约定，与成交供应商签订书面合同。所签订的合同不得对竞争性磋商文件和成交供应商的磋商响应文件（包括评审中形成的澄清文件）作实质性修改。</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37.2成交供应商因不可抗力或者自身原因不能履行采购合同或放弃成交的，采购人可以与排在成交供应商之后第一位的成交候选人签订政府采购合同，以此类推。</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37.3采购人自政府采购合同签订之日起2个工作日内，将政府采购合同在省级以上人民政府财政部门指定的媒体上公告，但政府采购合同中涉及国家秘密、商业秘密的内容除外。</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38、合同实施</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38.1成交供应商应在合同签订后7个日历日内安排人员（项目组成人员简历表所列）与使用单位就送货、安装、调试、培训等工作进行安排、部署。</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38.2若未能在交货期内完成合同规定的义务，由此对采购人造成的延误和一切损失，由成交供应商承担和赔偿。</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38.3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38.4政府采购合同履行中，采购人需追加与合同标的相同的货物的，在不改变合同其他条款的前提下，可以与供应商签订补充合同，但所补充合同的采购金额不得超过原合同采购金额的百分之十。签订补充合同的应按规定备案。</w:t>
      </w:r>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39、转包与分包</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39.1本项目不允许采取转包方式履行合同。</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39.2本项目经采购人同意，可以将成交项目的部分非主体、非关键性工作分包给他人完成，本项目“主体和关键性工作”是指：【根据项目具体情况确定】。接受分包的供应商应当具备相应的资格条件，并不得再次分包。</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39.3  采购合同实行分包履行的，成交供应商就采购项目和分包项目向采购人负责，分包供应商就分包项目承担责任。</w:t>
      </w:r>
    </w:p>
    <w:p>
      <w:pPr>
        <w:spacing w:line="440" w:lineRule="exact"/>
        <w:jc w:val="center"/>
        <w:outlineLvl w:val="2"/>
        <w:rPr>
          <w:rFonts w:hint="eastAsia" w:ascii="仿宋" w:hAnsi="仿宋" w:eastAsia="仿宋" w:cs="仿宋"/>
          <w:b/>
          <w:color w:val="000000" w:themeColor="text1"/>
          <w:sz w:val="24"/>
          <w:szCs w:val="24"/>
          <w:highlight w:val="none"/>
        </w:rPr>
      </w:pPr>
      <w:bookmarkStart w:id="54" w:name="_Toc1413"/>
      <w:bookmarkStart w:id="55" w:name="_Toc19646"/>
      <w:bookmarkStart w:id="56" w:name="_Toc10984"/>
      <w:r>
        <w:rPr>
          <w:rFonts w:hint="eastAsia" w:ascii="仿宋" w:hAnsi="仿宋" w:eastAsia="仿宋" w:cs="仿宋"/>
          <w:b/>
          <w:color w:val="000000" w:themeColor="text1"/>
          <w:sz w:val="24"/>
          <w:szCs w:val="24"/>
          <w:highlight w:val="none"/>
        </w:rPr>
        <w:t>十、其他</w:t>
      </w:r>
      <w:bookmarkEnd w:id="54"/>
      <w:bookmarkEnd w:id="55"/>
      <w:bookmarkEnd w:id="56"/>
    </w:p>
    <w:p>
      <w:pPr>
        <w:autoSpaceDE w:val="0"/>
        <w:autoSpaceDN w:val="0"/>
        <w:adjustRightInd w:val="0"/>
        <w:spacing w:line="440" w:lineRule="exact"/>
        <w:ind w:right="6"/>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40、重新招标或者变更采购方式</w:t>
      </w:r>
    </w:p>
    <w:p>
      <w:pPr>
        <w:autoSpaceDE w:val="0"/>
        <w:autoSpaceDN w:val="0"/>
        <w:adjustRightInd w:val="0"/>
        <w:spacing w:line="440" w:lineRule="exact"/>
        <w:ind w:right="6"/>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41.1磋商会议开始后，出现下列情形之一的，采购人或者采购代理机构应当终止竞争性磋商采购活动，发布项目终止公告并说明原因，重新开展采购活动：</w:t>
      </w:r>
    </w:p>
    <w:p>
      <w:pPr>
        <w:autoSpaceDE w:val="0"/>
        <w:autoSpaceDN w:val="0"/>
        <w:adjustRightInd w:val="0"/>
        <w:spacing w:line="440" w:lineRule="exact"/>
        <w:ind w:right="6" w:firstLine="240" w:firstLineChars="1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（1）因情况变化，不再符合规定的竞争性磋商采购方式适用情形的；</w:t>
      </w:r>
    </w:p>
    <w:p>
      <w:pPr>
        <w:autoSpaceDE w:val="0"/>
        <w:autoSpaceDN w:val="0"/>
        <w:adjustRightInd w:val="0"/>
        <w:spacing w:line="440" w:lineRule="exact"/>
        <w:ind w:right="6" w:firstLine="240" w:firstLineChars="1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（2）出现影响采购公正的违法、违规行为的；</w:t>
      </w:r>
    </w:p>
    <w:p>
      <w:pPr>
        <w:autoSpaceDE w:val="0"/>
        <w:autoSpaceDN w:val="0"/>
        <w:adjustRightInd w:val="0"/>
        <w:spacing w:line="440" w:lineRule="exact"/>
        <w:ind w:right="6" w:firstLine="240" w:firstLineChars="1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（3）除《政府采购竞争性磋商采购方式管理暂行办法》办法第21条第3款规定的情形外，在采购过程中符合要求的供应商或者磋商报价未超过采购预算的供应商不足3家的。</w:t>
      </w:r>
    </w:p>
    <w:p>
      <w:pPr>
        <w:autoSpaceDE w:val="0"/>
        <w:autoSpaceDN w:val="0"/>
        <w:adjustRightInd w:val="0"/>
        <w:spacing w:line="440" w:lineRule="exact"/>
        <w:ind w:right="6"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41.2评审过程中，提交最后报价的供应商为2家时，可以继续进行磋商的情形：</w:t>
      </w:r>
    </w:p>
    <w:p>
      <w:pPr>
        <w:autoSpaceDE w:val="0"/>
        <w:autoSpaceDN w:val="0"/>
        <w:adjustRightInd w:val="0"/>
        <w:spacing w:line="440" w:lineRule="exact"/>
        <w:ind w:right="6" w:firstLine="240" w:firstLineChars="1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（1）符合《政府采购竞争性磋商采购方式管理暂行办法》第3条第4项情形的，即市场竞争不充分的科研项目，以及需要扶持的科技成果转化项目；</w:t>
      </w:r>
    </w:p>
    <w:p>
      <w:pPr>
        <w:autoSpaceDE w:val="0"/>
        <w:autoSpaceDN w:val="0"/>
        <w:adjustRightInd w:val="0"/>
        <w:spacing w:line="440" w:lineRule="exact"/>
        <w:ind w:right="6" w:firstLine="240" w:firstLineChars="1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（2）根据陕西省财政厅陕财办采资（2016）53号文件第十八条，在采购过程中符合要求的供应商（社会资本）只有2家的。</w:t>
      </w:r>
    </w:p>
    <w:p>
      <w:pPr>
        <w:autoSpaceDE w:val="0"/>
        <w:autoSpaceDN w:val="0"/>
        <w:adjustRightInd w:val="0"/>
        <w:spacing w:line="440" w:lineRule="exact"/>
        <w:ind w:right="6"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41.3只有1家时，采购人将依法报请本级财政部门批准重新组织采购活动。</w:t>
      </w:r>
    </w:p>
    <w:p>
      <w:pPr>
        <w:adjustRightInd w:val="0"/>
        <w:snapToGrid w:val="0"/>
        <w:spacing w:line="440" w:lineRule="exact"/>
        <w:jc w:val="center"/>
        <w:outlineLvl w:val="0"/>
        <w:rPr>
          <w:rFonts w:hint="eastAsia" w:ascii="仿宋" w:hAnsi="仿宋" w:eastAsia="仿宋" w:cs="仿宋"/>
          <w:color w:val="000000" w:themeColor="text1"/>
          <w:highlight w:val="none"/>
        </w:rPr>
      </w:pPr>
    </w:p>
    <w:p>
      <w:pPr>
        <w:adjustRightInd w:val="0"/>
        <w:snapToGrid w:val="0"/>
        <w:spacing w:line="440" w:lineRule="exact"/>
        <w:jc w:val="center"/>
        <w:outlineLvl w:val="0"/>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adjustRightInd w:val="0"/>
        <w:snapToGrid w:val="0"/>
        <w:spacing w:line="440" w:lineRule="exact"/>
        <w:jc w:val="center"/>
        <w:outlineLvl w:val="0"/>
        <w:rPr>
          <w:rFonts w:hint="eastAsia" w:ascii="仿宋" w:hAnsi="仿宋" w:eastAsia="仿宋" w:cs="仿宋"/>
          <w:b/>
          <w:bCs/>
          <w:color w:val="000000" w:themeColor="text1"/>
          <w:sz w:val="30"/>
          <w:szCs w:val="30"/>
          <w:highlight w:val="none"/>
        </w:rPr>
      </w:pPr>
      <w:bookmarkStart w:id="57" w:name="_Toc31617"/>
      <w:r>
        <w:rPr>
          <w:rFonts w:hint="eastAsia" w:ascii="仿宋" w:hAnsi="仿宋" w:eastAsia="仿宋" w:cs="仿宋"/>
          <w:b/>
          <w:bCs/>
          <w:color w:val="000000" w:themeColor="text1"/>
          <w:sz w:val="30"/>
          <w:szCs w:val="30"/>
          <w:highlight w:val="none"/>
        </w:rPr>
        <w:t>第四部分  竞争性磋商办法</w:t>
      </w:r>
      <w:bookmarkEnd w:id="57"/>
    </w:p>
    <w:p>
      <w:pPr>
        <w:pStyle w:val="6"/>
        <w:rPr>
          <w:rFonts w:hint="eastAsia" w:ascii="仿宋" w:hAnsi="仿宋" w:eastAsia="仿宋" w:cs="仿宋"/>
          <w:color w:val="000000" w:themeColor="text1"/>
          <w:highlight w:val="none"/>
        </w:rPr>
      </w:pPr>
    </w:p>
    <w:p>
      <w:pPr>
        <w:spacing w:line="440" w:lineRule="exact"/>
        <w:ind w:firstLine="720" w:firstLineChars="3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根据《中华人民共和国政府采购法》、中华人民共和国2015年第658号国务院令--《中华人民共和国政府采购法实施条例》、中华人民共和国财政部2017年第87号令--《政府采购货物和服务招标投标管理办法》、《政府采购竞争性磋商采购方式管理暂行办法》的规定，结合采购项目特点制定本评审办法。</w:t>
      </w:r>
    </w:p>
    <w:p>
      <w:pPr>
        <w:spacing w:line="440" w:lineRule="exact"/>
        <w:jc w:val="left"/>
        <w:outlineLvl w:val="2"/>
        <w:rPr>
          <w:rFonts w:hint="eastAsia" w:ascii="仿宋" w:hAnsi="仿宋" w:eastAsia="仿宋" w:cs="仿宋"/>
          <w:b/>
          <w:color w:val="000000" w:themeColor="text1"/>
          <w:sz w:val="24"/>
          <w:szCs w:val="24"/>
          <w:highlight w:val="none"/>
        </w:rPr>
      </w:pPr>
      <w:bookmarkStart w:id="58" w:name="_Toc11669"/>
      <w:bookmarkStart w:id="59" w:name="_Toc10389"/>
      <w:bookmarkStart w:id="60" w:name="_Toc28036"/>
      <w:r>
        <w:rPr>
          <w:rFonts w:hint="eastAsia" w:ascii="仿宋" w:hAnsi="仿宋" w:eastAsia="仿宋" w:cs="仿宋"/>
          <w:b/>
          <w:color w:val="000000" w:themeColor="text1"/>
          <w:sz w:val="24"/>
          <w:szCs w:val="24"/>
          <w:highlight w:val="none"/>
        </w:rPr>
        <w:t>一、评审程序</w:t>
      </w:r>
      <w:bookmarkEnd w:id="58"/>
      <w:bookmarkEnd w:id="59"/>
      <w:bookmarkEnd w:id="60"/>
    </w:p>
    <w:p>
      <w:pPr>
        <w:spacing w:line="440" w:lineRule="exact"/>
        <w:ind w:firstLine="482" w:firstLineChars="200"/>
        <w:jc w:val="left"/>
        <w:outlineLvl w:val="2"/>
        <w:rPr>
          <w:rFonts w:hint="eastAsia" w:ascii="仿宋" w:hAnsi="仿宋" w:eastAsia="仿宋" w:cs="仿宋"/>
          <w:b/>
          <w:color w:val="000000" w:themeColor="text1"/>
          <w:kern w:val="0"/>
          <w:sz w:val="24"/>
          <w:szCs w:val="24"/>
          <w:highlight w:val="none"/>
        </w:rPr>
      </w:pPr>
      <w:bookmarkStart w:id="61" w:name="_Toc25037"/>
      <w:bookmarkStart w:id="62" w:name="_Toc15253"/>
      <w:bookmarkStart w:id="63" w:name="_Toc23919"/>
      <w:r>
        <w:rPr>
          <w:rFonts w:hint="eastAsia" w:ascii="仿宋" w:hAnsi="仿宋" w:eastAsia="仿宋" w:cs="仿宋"/>
          <w:b/>
          <w:color w:val="000000" w:themeColor="text1"/>
          <w:kern w:val="0"/>
          <w:sz w:val="24"/>
          <w:szCs w:val="24"/>
          <w:highlight w:val="none"/>
        </w:rPr>
        <w:t>1、本采购项目评审按照下列工作程序进行：</w:t>
      </w:r>
      <w:bookmarkEnd w:id="61"/>
      <w:bookmarkEnd w:id="62"/>
      <w:bookmarkEnd w:id="63"/>
    </w:p>
    <w:p>
      <w:pPr>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1.1 磋商响应文件初审；</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1.2 澄清有关问题；</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1.3 比较与评价；</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1.4 推荐成交供应商名单；</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1.5 编写评审报告。</w:t>
      </w:r>
    </w:p>
    <w:p>
      <w:pPr>
        <w:spacing w:line="440" w:lineRule="exact"/>
        <w:ind w:firstLine="482" w:firstLineChars="200"/>
        <w:jc w:val="left"/>
        <w:outlineLvl w:val="2"/>
        <w:rPr>
          <w:rFonts w:hint="eastAsia" w:ascii="仿宋" w:hAnsi="仿宋" w:eastAsia="仿宋" w:cs="仿宋"/>
          <w:b/>
          <w:color w:val="000000" w:themeColor="text1"/>
          <w:kern w:val="0"/>
          <w:sz w:val="24"/>
          <w:szCs w:val="24"/>
          <w:highlight w:val="none"/>
        </w:rPr>
      </w:pPr>
      <w:bookmarkStart w:id="64" w:name="_Toc13663"/>
      <w:bookmarkStart w:id="65" w:name="_Toc5731"/>
      <w:bookmarkStart w:id="66" w:name="_Toc3853"/>
      <w:r>
        <w:rPr>
          <w:rFonts w:hint="eastAsia" w:ascii="仿宋" w:hAnsi="仿宋" w:eastAsia="仿宋" w:cs="仿宋"/>
          <w:b/>
          <w:color w:val="000000" w:themeColor="text1"/>
          <w:kern w:val="0"/>
          <w:sz w:val="24"/>
          <w:szCs w:val="24"/>
          <w:highlight w:val="none"/>
        </w:rPr>
        <w:t>2、磋商响应文件的初审</w:t>
      </w:r>
      <w:bookmarkEnd w:id="64"/>
      <w:bookmarkEnd w:id="65"/>
      <w:bookmarkEnd w:id="66"/>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初审分为资格性检查和符合性检查。分别按照以下内容对磋商响应文件进行检查，一项不合格即按照无效磋商处理。</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2.1磋商响应文件的资格性审查：</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（1）提供的资格证明文件是否符合国家法律法规和竞争性磋商文件的要求，并且齐全、真实、有效；</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（2）是否按照竞争性磋商文件的要求提交了足额有效的磋商保证金。</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2.2磋商响应文件的符合性审查：</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2.2.1磋商响应文件的完整性审查。</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（1）磋商响应文件是否按照竞争性磋商文件要求的格式编写；</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（2）磋商内容是否有重大缺漏项。</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2.2.2磋商响应文件的有效性审查。</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（1）磋商响应文件的签署、加盖印章是否合格、有效；</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（2）磋商有效期是否符合竞争性磋商文件的要求；</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2.2.3磋商响应文件的实质响应性审查。</w:t>
      </w:r>
      <w:bookmarkStart w:id="67" w:name="_Hlk528178048"/>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（1）磋商报价是否未超过采购预算，是否具有唯一性；</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（2）磋商响应文件响应内容是否符合国家法律法规，是否实质性响应了竞争性磋商文件要求的全部条款、条件和规格要求，并且提供了支持文件，没有重大偏离。</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（3）对合同中规定的双方的权利和义务是否做出了实质性响应。</w:t>
      </w:r>
    </w:p>
    <w:bookmarkEnd w:id="67"/>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2.2.4同一品牌同一型号产品只能由一家供应商参加磋商，如果有多家供应商以同一品牌同一型号产品参加磋商的，选取经初审合格且报价最低的供应商进行评审打分，其余的按照无效磋商处理。</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（如果采购的是系统集成类或者组合类产品，可不考虑该条款。）</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2.3经过对供应商及磋商响应文件的资格性和符合性审查，出现下列情况者（但不限于），按无效磋商处理。</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（1）供应商未经过正常渠道购买竞争性磋商文件或供应商的名称与登记领取竞争性磋商文件单位的名称不符；</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（2）磋商响应文件中未提交法定代表人授权书（法定代表人直接磋商未按要求提交其有效身份证）或授权书的合法性或有效性不符合竞争性磋商文件规定。授权代表本单位证明的有效性或符合性不符合要求的；</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（3）供应商资质的有效性或符合性不符合要求的；</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（4）供应商未按竞争性磋商文件要求提供磋商保证金的；</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（5）磋商响应文件的格式不符合竞争性磋商文件要求、关键内容字迹模糊、无法辨认的；</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（6）磋商响应文件未按竞争性磋商文件规定有效签字和盖章，或由供应商委托代理人签字的，但未随磋商响应文件一起提交有效的“授权委托书”原件的；</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（7）无磋商有效期或有效期达不到竞争性磋商文件要求的；</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（8）磋商内容出现漏项或数量与要求不符，出现重大负偏差；</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（9）无磋商技术方案或磋商技术方案不符合要求；</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（10）设备技术指标达不到竞争性磋商文件要求，降低了产品档次或影响产品性能、功能；</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（11）磋商响应文件的合同主要条款响应与竞争性磋商文件要求不一致（交货、付款、验收、售后服务等项），附加了采购人难以接受的条件；</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（12）规定不接受选择方案和选择报价（包括交叉折扣）的，供应商提供了选择方案和/或选择报价（包括交叉折扣）；</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（13）磋商报价与市场价偏离较大，低于成本，形成不正当竞争；</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（14）提供虚假证明，开具虚假资质，出现虚假应答，除按无效标处理外，还进行相应的处罚；</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（15）供应商在境内参与政府采购活动中有违法违规行为的；</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（16）磋商报价超出采购预算的；</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（17）其他法律法规规定的情况。</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2.4在磋商响应文件初审过程中，如果出现磋商小组成员意见不一致的情况，按照少数服从多数的原则确定。</w:t>
      </w:r>
    </w:p>
    <w:p>
      <w:pPr>
        <w:spacing w:line="440" w:lineRule="exact"/>
        <w:ind w:firstLine="420"/>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3、磋商响应文件的澄清</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3.1 对于可能出现的磋商报价不一致和文字文本差异按以下方法确认更正。</w:t>
      </w:r>
    </w:p>
    <w:p>
      <w:pPr>
        <w:numPr>
          <w:ilvl w:val="0"/>
          <w:numId w:val="15"/>
        </w:num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磋商时，投标函的报价内容与磋商响应文件中报价明细表内容不一致的，以投标函的报价为准。</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大写金额和小写金额不一致的，以大写金额为准；总价金额与按单价汇总金额不一致的，以单价金额计算结果为准；单价金额小数点有明显错位的，应以总价为准，并修改单价；对不同文字文本磋商响应文件的解释发生异议的，以中文文本为准。</w:t>
      </w:r>
    </w:p>
    <w:p>
      <w:pPr>
        <w:numPr>
          <w:ilvl w:val="0"/>
          <w:numId w:val="15"/>
        </w:num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磋商小组将按照上述原则修正磋商响应文件中的磋商报价，修正后的价格对供应商具有约束力。如果供应商不接受修正后的价格，其磋商按照无效磋商处理。</w:t>
      </w:r>
    </w:p>
    <w:p>
      <w:pPr>
        <w:spacing w:line="440" w:lineRule="exact"/>
        <w:ind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3.2 对于磋商响应文件中的非重大偏离，如果出现含义不明确、同类问题表述不一致或者有明显文字和计算错误的内容，磋商小组可以书面形式（由磋商小组专家签字）要求供应商作出必要的澄清、说明或者纠正。供应商的澄清、说明或者补正应当采用书面形式，由其授权的磋商代表签字，并不得超出磋商响应文件的范围或者改变磋商响应文件的实质性内容。</w:t>
      </w:r>
    </w:p>
    <w:p>
      <w:pPr>
        <w:spacing w:line="440" w:lineRule="exact"/>
        <w:ind w:firstLine="480"/>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4、磋商响应文件的比较和评价</w:t>
      </w:r>
    </w:p>
    <w:p>
      <w:pPr>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4.1磋商小组应按照竞争性磋商文件中规定的评审方法和标准，对资格性检查和符合性检查合格的磋商响应文件进行商务和技术评估，综合比较与评价。最低报价不做为成交的唯一条件。</w:t>
      </w:r>
    </w:p>
    <w:p>
      <w:pPr>
        <w:spacing w:line="440" w:lineRule="exact"/>
        <w:ind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4.2如果磋商响应文件没有实质性响应竞争性磋商文件的要求，磋商小组将予以拒绝。供应商不得通过修正或撤消不合要求的偏离或保留，从而使其磋商成为实质性响应的磋商。</w:t>
      </w:r>
    </w:p>
    <w:p>
      <w:pPr>
        <w:spacing w:line="440" w:lineRule="exact"/>
        <w:ind w:firstLine="48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4.3评审程序：采取逐项分步评审方式，每一步评审不符合者，不进入下一步评审，全部评审合格的供应商进行最后的综合评审和打分，按最后得分由高向低排序，推荐成交候选单位。</w:t>
      </w:r>
    </w:p>
    <w:p>
      <w:pPr>
        <w:spacing w:line="440" w:lineRule="exact"/>
        <w:ind w:firstLine="420"/>
        <w:rPr>
          <w:rFonts w:hint="eastAsia" w:ascii="仿宋" w:hAnsi="仿宋" w:eastAsia="仿宋" w:cs="仿宋"/>
          <w:b/>
          <w:color w:val="000000" w:themeColor="text1"/>
          <w:kern w:val="0"/>
          <w:sz w:val="24"/>
          <w:szCs w:val="24"/>
          <w:highlight w:val="none"/>
        </w:rPr>
      </w:pPr>
      <w:r>
        <w:rPr>
          <w:rFonts w:hint="eastAsia" w:ascii="仿宋" w:hAnsi="仿宋" w:eastAsia="仿宋" w:cs="仿宋"/>
          <w:b/>
          <w:color w:val="000000" w:themeColor="text1"/>
          <w:kern w:val="0"/>
          <w:sz w:val="24"/>
          <w:szCs w:val="24"/>
          <w:highlight w:val="none"/>
        </w:rPr>
        <w:t>5、竞争性磋商</w:t>
      </w:r>
    </w:p>
    <w:p>
      <w:pPr>
        <w:spacing w:line="440" w:lineRule="exact"/>
        <w:ind w:firstLine="481"/>
        <w:jc w:val="left"/>
        <w:outlineLvl w:val="2"/>
        <w:rPr>
          <w:rFonts w:hint="eastAsia" w:ascii="仿宋" w:hAnsi="仿宋" w:eastAsia="仿宋" w:cs="仿宋"/>
          <w:color w:val="000000" w:themeColor="text1"/>
          <w:sz w:val="24"/>
          <w:szCs w:val="24"/>
          <w:highlight w:val="none"/>
        </w:rPr>
      </w:pPr>
      <w:bookmarkStart w:id="68" w:name="_Toc11918"/>
      <w:bookmarkStart w:id="69" w:name="_Toc32572"/>
      <w:bookmarkStart w:id="70" w:name="_Toc15453"/>
      <w:r>
        <w:rPr>
          <w:rFonts w:hint="eastAsia" w:ascii="仿宋" w:hAnsi="仿宋" w:eastAsia="仿宋" w:cs="仿宋"/>
          <w:color w:val="000000" w:themeColor="text1"/>
          <w:sz w:val="24"/>
          <w:szCs w:val="24"/>
          <w:highlight w:val="none"/>
        </w:rPr>
        <w:t>5.1磋商方式：</w:t>
      </w:r>
      <w:bookmarkEnd w:id="68"/>
      <w:bookmarkEnd w:id="69"/>
      <w:bookmarkEnd w:id="70"/>
    </w:p>
    <w:p>
      <w:pPr>
        <w:spacing w:line="440" w:lineRule="exact"/>
        <w:ind w:firstLine="481"/>
        <w:jc w:val="left"/>
        <w:outlineLvl w:val="2"/>
        <w:rPr>
          <w:rFonts w:hint="eastAsia" w:ascii="仿宋" w:hAnsi="仿宋" w:eastAsia="仿宋" w:cs="仿宋"/>
          <w:color w:val="000000" w:themeColor="text1"/>
          <w:sz w:val="24"/>
          <w:szCs w:val="24"/>
          <w:highlight w:val="none"/>
        </w:rPr>
      </w:pPr>
      <w:bookmarkStart w:id="71" w:name="_Toc5601"/>
      <w:bookmarkStart w:id="72" w:name="_Toc22922"/>
      <w:bookmarkStart w:id="73" w:name="_Toc16404"/>
      <w:r>
        <w:rPr>
          <w:rFonts w:hint="eastAsia" w:ascii="仿宋" w:hAnsi="仿宋" w:eastAsia="仿宋" w:cs="仿宋"/>
          <w:color w:val="000000" w:themeColor="text1"/>
          <w:sz w:val="24"/>
          <w:szCs w:val="24"/>
          <w:highlight w:val="none"/>
        </w:rPr>
        <w:t>5.1.1对资格性检查和符合性检查合格的供应商，即入围供应商，进入本次磋商程序。</w:t>
      </w:r>
      <w:bookmarkEnd w:id="71"/>
      <w:bookmarkEnd w:id="72"/>
      <w:bookmarkEnd w:id="73"/>
    </w:p>
    <w:p>
      <w:pPr>
        <w:spacing w:line="440" w:lineRule="exact"/>
        <w:ind w:firstLine="481"/>
        <w:jc w:val="left"/>
        <w:outlineLvl w:val="2"/>
        <w:rPr>
          <w:rFonts w:hint="eastAsia" w:ascii="仿宋" w:hAnsi="仿宋" w:eastAsia="仿宋" w:cs="仿宋"/>
          <w:color w:val="000000" w:themeColor="text1"/>
          <w:sz w:val="24"/>
          <w:szCs w:val="24"/>
          <w:highlight w:val="none"/>
        </w:rPr>
      </w:pPr>
      <w:bookmarkStart w:id="74" w:name="_Toc7636"/>
      <w:bookmarkStart w:id="75" w:name="_Toc11562"/>
      <w:bookmarkStart w:id="76" w:name="_Toc30315"/>
      <w:r>
        <w:rPr>
          <w:rFonts w:hint="eastAsia" w:ascii="仿宋" w:hAnsi="仿宋" w:eastAsia="仿宋" w:cs="仿宋"/>
          <w:color w:val="000000" w:themeColor="text1"/>
          <w:sz w:val="24"/>
          <w:szCs w:val="24"/>
          <w:highlight w:val="none"/>
        </w:rPr>
        <w:t>5.1.2在磋商期间，供应商应派代表参加磋商，代表人数不超过2人。</w:t>
      </w:r>
      <w:bookmarkEnd w:id="74"/>
      <w:bookmarkEnd w:id="75"/>
      <w:bookmarkEnd w:id="76"/>
    </w:p>
    <w:p>
      <w:pPr>
        <w:spacing w:line="440" w:lineRule="exact"/>
        <w:ind w:firstLine="481"/>
        <w:jc w:val="left"/>
        <w:outlineLvl w:val="2"/>
        <w:rPr>
          <w:rFonts w:hint="eastAsia" w:ascii="仿宋" w:hAnsi="仿宋" w:eastAsia="仿宋" w:cs="仿宋"/>
          <w:color w:val="000000" w:themeColor="text1"/>
          <w:sz w:val="24"/>
          <w:szCs w:val="24"/>
          <w:highlight w:val="none"/>
        </w:rPr>
      </w:pPr>
      <w:bookmarkStart w:id="77" w:name="_Toc25413"/>
      <w:bookmarkStart w:id="78" w:name="_Toc12080"/>
      <w:bookmarkStart w:id="79" w:name="_Toc25085"/>
      <w:r>
        <w:rPr>
          <w:rFonts w:hint="eastAsia" w:ascii="仿宋" w:hAnsi="仿宋" w:eastAsia="仿宋" w:cs="仿宋"/>
          <w:color w:val="000000" w:themeColor="text1"/>
          <w:sz w:val="24"/>
          <w:szCs w:val="24"/>
          <w:highlight w:val="none"/>
        </w:rPr>
        <w:t>5.1.3磋商小组通过随机方式确定参加磋商供应商的磋商顺序，所有成员集中与单一供应商按照顺序分别进行磋商，并给予所有参加磋商的供应商平等的磋商机会。在磋商中，磋商的任何一方不得透露与磋商有关的其他供应商的技术资料、价格和其他信息。</w:t>
      </w:r>
      <w:bookmarkEnd w:id="77"/>
      <w:bookmarkEnd w:id="78"/>
      <w:bookmarkEnd w:id="79"/>
    </w:p>
    <w:p>
      <w:pPr>
        <w:spacing w:line="440" w:lineRule="exact"/>
        <w:ind w:firstLine="481"/>
        <w:jc w:val="left"/>
        <w:outlineLvl w:val="2"/>
        <w:rPr>
          <w:rFonts w:hint="eastAsia" w:ascii="仿宋" w:hAnsi="仿宋" w:eastAsia="仿宋" w:cs="仿宋"/>
          <w:color w:val="000000" w:themeColor="text1"/>
          <w:sz w:val="24"/>
          <w:szCs w:val="24"/>
          <w:highlight w:val="none"/>
        </w:rPr>
      </w:pPr>
      <w:bookmarkStart w:id="80" w:name="_Toc22209"/>
      <w:bookmarkStart w:id="81" w:name="_Toc17814"/>
      <w:bookmarkStart w:id="82" w:name="_Toc27015"/>
      <w:r>
        <w:rPr>
          <w:rFonts w:hint="eastAsia" w:ascii="仿宋" w:hAnsi="仿宋" w:eastAsia="仿宋" w:cs="仿宋"/>
          <w:color w:val="000000" w:themeColor="text1"/>
          <w:sz w:val="24"/>
          <w:szCs w:val="24"/>
          <w:highlight w:val="none"/>
        </w:rPr>
        <w:t>5.1.4技术磋商。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供应商应当按照竞争性磋商文件的变动情况和磋商小组的要求重新提交磋商响应文件，并由其法定代表人或授权代表签字或者加盖公章。磋商小组应当根据规定对供应商重新提交的磋商响应文件进行符合性审查。供应商重新提交的磋商响应文件未通过符合性审查的，不得进入商务磋商，也不得要求提交最后报价。</w:t>
      </w:r>
      <w:bookmarkEnd w:id="80"/>
      <w:bookmarkEnd w:id="81"/>
      <w:bookmarkEnd w:id="82"/>
    </w:p>
    <w:p>
      <w:pPr>
        <w:spacing w:line="440" w:lineRule="exact"/>
        <w:ind w:firstLine="481"/>
        <w:jc w:val="left"/>
        <w:outlineLvl w:val="2"/>
        <w:rPr>
          <w:rFonts w:hint="eastAsia" w:ascii="仿宋" w:hAnsi="仿宋" w:eastAsia="仿宋" w:cs="仿宋"/>
          <w:color w:val="000000" w:themeColor="text1"/>
          <w:sz w:val="24"/>
          <w:szCs w:val="24"/>
          <w:highlight w:val="none"/>
        </w:rPr>
      </w:pPr>
      <w:bookmarkStart w:id="83" w:name="_Toc8469"/>
      <w:bookmarkStart w:id="84" w:name="_Toc24025"/>
      <w:bookmarkStart w:id="85" w:name="_Toc18383"/>
      <w:r>
        <w:rPr>
          <w:rFonts w:hint="eastAsia" w:ascii="仿宋" w:hAnsi="仿宋" w:eastAsia="仿宋" w:cs="仿宋"/>
          <w:color w:val="000000" w:themeColor="text1"/>
          <w:sz w:val="24"/>
          <w:szCs w:val="24"/>
          <w:highlight w:val="none"/>
        </w:rPr>
        <w:t>5.1.5商务磋商。技术磋商结束后，进行商务磋商。竞争性磋商文件能够详细列明采购标的的技术、服务要求的，磋商小组应当要求所有实质性响应的供应商在规定时间内提交最后报价，提交最后报价的供应商不得少于3家；竞争性磋商文件不能详细列明采购标的的技术、服务要求，需经磋商由供应商提供最终设计方案或解决方案的，磋商小组应当按照少数服从多数的原则投票推荐3家以上供应商的设计方案或者解决方案，并要求其在规定时间内提交最后报价。最后报价是供应商响应文件的有效组成部分。</w:t>
      </w:r>
      <w:bookmarkEnd w:id="83"/>
      <w:bookmarkEnd w:id="84"/>
      <w:bookmarkEnd w:id="85"/>
    </w:p>
    <w:p>
      <w:pPr>
        <w:spacing w:line="440" w:lineRule="exact"/>
        <w:ind w:firstLine="481"/>
        <w:jc w:val="left"/>
        <w:outlineLvl w:val="2"/>
        <w:rPr>
          <w:rFonts w:hint="eastAsia" w:ascii="仿宋" w:hAnsi="仿宋" w:eastAsia="仿宋" w:cs="仿宋"/>
          <w:color w:val="000000" w:themeColor="text1"/>
          <w:sz w:val="24"/>
          <w:szCs w:val="24"/>
          <w:highlight w:val="none"/>
        </w:rPr>
      </w:pPr>
      <w:bookmarkStart w:id="86" w:name="_Toc17602"/>
      <w:bookmarkStart w:id="87" w:name="_Toc31516"/>
      <w:bookmarkStart w:id="88" w:name="_Toc20520"/>
      <w:r>
        <w:rPr>
          <w:rFonts w:hint="eastAsia" w:ascii="仿宋" w:hAnsi="仿宋" w:eastAsia="仿宋" w:cs="仿宋"/>
          <w:color w:val="000000" w:themeColor="text1"/>
          <w:sz w:val="24"/>
          <w:szCs w:val="24"/>
          <w:highlight w:val="none"/>
        </w:rPr>
        <w:t>5.1.6已提交磋商响应文件的供应商，在提交最后报价之前，可以根据磋商情况退出磋商，采购代理机构应当退还其磋商保证金。</w:t>
      </w:r>
      <w:bookmarkEnd w:id="86"/>
      <w:bookmarkEnd w:id="87"/>
      <w:bookmarkEnd w:id="88"/>
    </w:p>
    <w:p>
      <w:pPr>
        <w:spacing w:line="440" w:lineRule="exact"/>
        <w:ind w:firstLine="481"/>
        <w:jc w:val="left"/>
        <w:outlineLvl w:val="2"/>
        <w:rPr>
          <w:rFonts w:hint="eastAsia" w:ascii="仿宋" w:hAnsi="仿宋" w:eastAsia="仿宋" w:cs="仿宋"/>
          <w:color w:val="000000" w:themeColor="text1"/>
          <w:sz w:val="24"/>
          <w:szCs w:val="24"/>
          <w:highlight w:val="none"/>
        </w:rPr>
      </w:pPr>
      <w:bookmarkStart w:id="89" w:name="_Toc17950"/>
      <w:bookmarkStart w:id="90" w:name="_Toc16621"/>
      <w:bookmarkStart w:id="91" w:name="_Toc1910"/>
      <w:r>
        <w:rPr>
          <w:rFonts w:hint="eastAsia" w:ascii="仿宋" w:hAnsi="仿宋" w:eastAsia="仿宋" w:cs="仿宋"/>
          <w:color w:val="000000" w:themeColor="text1"/>
          <w:sz w:val="24"/>
          <w:szCs w:val="24"/>
          <w:highlight w:val="none"/>
        </w:rPr>
        <w:t>5.2 磋商小组逐一与实质性响应竞争性磋商文件要求的供应商进行磋商。</w:t>
      </w:r>
      <w:bookmarkEnd w:id="89"/>
      <w:bookmarkEnd w:id="90"/>
      <w:bookmarkEnd w:id="91"/>
    </w:p>
    <w:p>
      <w:pPr>
        <w:spacing w:line="440" w:lineRule="exact"/>
        <w:ind w:firstLine="481"/>
        <w:jc w:val="left"/>
        <w:outlineLvl w:val="2"/>
        <w:rPr>
          <w:rFonts w:hint="eastAsia" w:ascii="仿宋" w:hAnsi="仿宋" w:eastAsia="仿宋" w:cs="仿宋"/>
          <w:b/>
          <w:color w:val="000000" w:themeColor="text1"/>
          <w:kern w:val="0"/>
          <w:sz w:val="24"/>
          <w:szCs w:val="24"/>
          <w:highlight w:val="none"/>
        </w:rPr>
      </w:pPr>
      <w:bookmarkStart w:id="92" w:name="_Toc3428"/>
      <w:bookmarkStart w:id="93" w:name="_Toc20448"/>
      <w:bookmarkStart w:id="94" w:name="_Toc27796"/>
      <w:r>
        <w:rPr>
          <w:rFonts w:hint="eastAsia" w:ascii="仿宋" w:hAnsi="仿宋" w:eastAsia="仿宋" w:cs="仿宋"/>
          <w:b/>
          <w:color w:val="000000" w:themeColor="text1"/>
          <w:kern w:val="0"/>
          <w:sz w:val="24"/>
          <w:szCs w:val="24"/>
          <w:highlight w:val="none"/>
        </w:rPr>
        <w:t>6、响应文件详细评审</w:t>
      </w:r>
      <w:bookmarkEnd w:id="92"/>
      <w:bookmarkEnd w:id="93"/>
      <w:bookmarkEnd w:id="94"/>
    </w:p>
    <w:p>
      <w:pPr>
        <w:spacing w:line="440" w:lineRule="exact"/>
        <w:ind w:firstLine="481"/>
        <w:jc w:val="left"/>
        <w:outlineLvl w:val="2"/>
        <w:rPr>
          <w:rFonts w:hint="eastAsia" w:ascii="仿宋" w:hAnsi="仿宋" w:eastAsia="仿宋" w:cs="仿宋"/>
          <w:color w:val="000000" w:themeColor="text1"/>
          <w:sz w:val="24"/>
          <w:szCs w:val="24"/>
          <w:highlight w:val="none"/>
        </w:rPr>
      </w:pPr>
      <w:bookmarkStart w:id="95" w:name="_Toc19619"/>
      <w:bookmarkStart w:id="96" w:name="_Toc19836"/>
      <w:bookmarkStart w:id="97" w:name="_Toc18406"/>
      <w:r>
        <w:rPr>
          <w:rFonts w:hint="eastAsia" w:ascii="仿宋" w:hAnsi="仿宋" w:eastAsia="仿宋" w:cs="仿宋"/>
          <w:color w:val="000000" w:themeColor="text1"/>
          <w:sz w:val="24"/>
          <w:szCs w:val="24"/>
          <w:highlight w:val="none"/>
        </w:rPr>
        <w:t>经磋商确定最终采购需求和提交最后报价的供应商后，由磋商小组采用综合评分法对提交最后报价的供应商的响应文件和最后报价进行综合评分。</w:t>
      </w:r>
      <w:bookmarkEnd w:id="95"/>
      <w:bookmarkEnd w:id="96"/>
      <w:bookmarkEnd w:id="97"/>
    </w:p>
    <w:p>
      <w:pPr>
        <w:spacing w:line="440" w:lineRule="exact"/>
        <w:jc w:val="left"/>
        <w:outlineLvl w:val="2"/>
        <w:rPr>
          <w:rFonts w:hint="eastAsia" w:ascii="仿宋" w:hAnsi="仿宋" w:eastAsia="仿宋" w:cs="仿宋"/>
          <w:b/>
          <w:color w:val="000000" w:themeColor="text1"/>
          <w:sz w:val="24"/>
          <w:szCs w:val="24"/>
          <w:highlight w:val="none"/>
        </w:rPr>
      </w:pPr>
      <w:bookmarkStart w:id="98" w:name="_Toc26086"/>
      <w:bookmarkStart w:id="99" w:name="_Toc30412"/>
      <w:bookmarkStart w:id="100" w:name="_Toc21133"/>
      <w:r>
        <w:rPr>
          <w:rFonts w:hint="eastAsia" w:ascii="仿宋" w:hAnsi="仿宋" w:eastAsia="仿宋" w:cs="仿宋"/>
          <w:b/>
          <w:color w:val="000000" w:themeColor="text1"/>
          <w:sz w:val="24"/>
          <w:szCs w:val="24"/>
          <w:highlight w:val="none"/>
        </w:rPr>
        <w:t>二、评审办法</w:t>
      </w:r>
      <w:bookmarkEnd w:id="98"/>
      <w:bookmarkEnd w:id="99"/>
      <w:bookmarkEnd w:id="100"/>
    </w:p>
    <w:p>
      <w:pPr>
        <w:spacing w:line="440" w:lineRule="exact"/>
        <w:ind w:firstLine="482" w:firstLineChars="200"/>
        <w:jc w:val="left"/>
        <w:outlineLvl w:val="2"/>
        <w:rPr>
          <w:rFonts w:hint="eastAsia" w:ascii="仿宋" w:hAnsi="仿宋" w:eastAsia="仿宋" w:cs="仿宋"/>
          <w:b/>
          <w:color w:val="000000" w:themeColor="text1"/>
          <w:kern w:val="0"/>
          <w:sz w:val="24"/>
          <w:szCs w:val="24"/>
          <w:highlight w:val="none"/>
        </w:rPr>
      </w:pPr>
      <w:bookmarkStart w:id="101" w:name="_Toc4747"/>
      <w:bookmarkStart w:id="102" w:name="_Toc30327"/>
      <w:bookmarkStart w:id="103" w:name="_Toc24676"/>
      <w:r>
        <w:rPr>
          <w:rFonts w:hint="eastAsia" w:ascii="仿宋" w:hAnsi="仿宋" w:eastAsia="仿宋" w:cs="仿宋"/>
          <w:b/>
          <w:color w:val="000000" w:themeColor="text1"/>
          <w:kern w:val="0"/>
          <w:sz w:val="24"/>
          <w:szCs w:val="24"/>
          <w:highlight w:val="none"/>
        </w:rPr>
        <w:t>1、综合评分法</w:t>
      </w:r>
      <w:bookmarkEnd w:id="101"/>
      <w:bookmarkEnd w:id="102"/>
      <w:bookmarkEnd w:id="103"/>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本次评审采用综合评分法。即在最大限度地满足竞争性磋商文件实质性要求前提下，按照竞争性磋商文件中规定的各项因素和相应的权重分值进行综合评审后，以</w:t>
      </w:r>
      <w:r>
        <w:rPr>
          <w:rFonts w:hint="eastAsia" w:ascii="仿宋" w:hAnsi="仿宋" w:eastAsia="仿宋" w:cs="仿宋"/>
          <w:color w:val="000000" w:themeColor="text1"/>
          <w:sz w:val="24"/>
          <w:szCs w:val="24"/>
          <w:highlight w:val="none"/>
          <w:lang w:eastAsia="zh-CN"/>
        </w:rPr>
        <w:t>平均</w:t>
      </w:r>
      <w:r>
        <w:rPr>
          <w:rFonts w:hint="eastAsia" w:ascii="仿宋" w:hAnsi="仿宋" w:eastAsia="仿宋" w:cs="仿宋"/>
          <w:color w:val="000000" w:themeColor="text1"/>
          <w:sz w:val="24"/>
          <w:szCs w:val="24"/>
          <w:highlight w:val="none"/>
        </w:rPr>
        <w:t>得分最高的供应商作为成交候选人并依次排序。磋商小组将综合分析供应商的各项评审因素，而不以单项评审因素的优劣评选出成交单位。对所有供应商的磋商评估，都采用相同的程序和标准，严格按照竞争性磋商文件的要求和条件进行。</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b/>
          <w:color w:val="000000" w:themeColor="text1"/>
          <w:kern w:val="0"/>
          <w:sz w:val="24"/>
          <w:szCs w:val="24"/>
          <w:highlight w:val="none"/>
        </w:rPr>
        <w:t>2、评审细则及标准：</w:t>
      </w:r>
    </w:p>
    <w:p>
      <w:pPr>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2.1磋商小组将综合分析供应商的各项评审因素，而不以单项评审因素的优劣评选出成交单位。对所有供应商的磋商评估，都采用相同的程序和标准，严格按照竞争性磋商文件的要求和条件进行。</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2.2评审因素包括：价格、技术、信誉、业绩、服务、对竞争性磋商文件的响应程度，以及相应的比重或者权值等，但不包括“供应商须知前附表”规定的供应商资格条件。</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2.3综合评分操作程序为：</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2.3.1根据竞争性磋商文件和评审原则，按下表《综合评分明细表》所列评分因素和各评分因素的权重进行评审。</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2.3.2由磋商小组独立地根据各项因素的评分标准，结合每个供应商的实际情况，分别就磋商报价以外的各项评审因素对每个供应商独立打分。</w:t>
      </w:r>
    </w:p>
    <w:p>
      <w:pPr>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2.3.</w:t>
      </w:r>
      <w:r>
        <w:rPr>
          <w:rFonts w:hint="eastAsia" w:ascii="仿宋" w:hAnsi="仿宋" w:eastAsia="仿宋" w:cs="仿宋"/>
          <w:color w:val="000000" w:themeColor="text1"/>
          <w:sz w:val="24"/>
          <w:szCs w:val="24"/>
          <w:highlight w:val="none"/>
          <w:lang w:val="en-US" w:eastAsia="zh-CN"/>
        </w:rPr>
        <w:t>3</w:t>
      </w:r>
      <w:r>
        <w:rPr>
          <w:rFonts w:hint="eastAsia" w:ascii="仿宋" w:hAnsi="仿宋" w:eastAsia="仿宋" w:cs="仿宋"/>
          <w:color w:val="000000" w:themeColor="text1"/>
          <w:sz w:val="24"/>
          <w:szCs w:val="24"/>
          <w:highlight w:val="none"/>
        </w:rPr>
        <w:t>非实质性偏离是指磋商响应文件在实质上响应竞争性磋商文件的要求，但在个别地方存在一些不规则、不一致、不完整的内容，并且澄清、说明或者补正这些内容不会改变磋商响应文件的实质性内容。以下情况属于非实质性偏离：</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（1）文字表述的内容含义不明确；</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（2）同类问题表述不一致；</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（3）有明显文字和计算错误；</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（4）提供的技术信息和数据资料不完整；</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（5）磋商响应文件未按竞争性磋商文件要求进行装订或未编制目录、页码；</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（6）磋商小组认定的其他非实质性偏离。</w:t>
      </w:r>
    </w:p>
    <w:p>
      <w:pPr>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磋商响应文件有上述（1）至（6）情形之一的，磋商小组应当书面要求供应商在规定的时间内予以澄清、说明或补正。供应商拒不或在规定的时间内没有进行澄清、说明或补正或澄清、说明、补正的内容也不能说明问题的，视为磋商响应文件制作不规范，按每一项非实质性偏离进行扣分处理，直至该项分值扣完为止。</w:t>
      </w:r>
    </w:p>
    <w:p>
      <w:pPr>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2.3.</w:t>
      </w:r>
      <w:r>
        <w:rPr>
          <w:rFonts w:hint="eastAsia" w:ascii="仿宋" w:hAnsi="仿宋" w:eastAsia="仿宋" w:cs="仿宋"/>
          <w:color w:val="000000" w:themeColor="text1"/>
          <w:sz w:val="24"/>
          <w:szCs w:val="24"/>
          <w:highlight w:val="none"/>
          <w:lang w:val="en-US" w:eastAsia="zh-CN"/>
        </w:rPr>
        <w:t>4</w:t>
      </w:r>
      <w:r>
        <w:rPr>
          <w:rFonts w:hint="eastAsia" w:ascii="仿宋" w:hAnsi="仿宋" w:eastAsia="仿宋" w:cs="仿宋"/>
          <w:color w:val="000000" w:themeColor="text1"/>
          <w:sz w:val="24"/>
          <w:szCs w:val="24"/>
          <w:highlight w:val="none"/>
        </w:rPr>
        <w:t>在磋商响应文件初审过程中，如果出现磋商小组成员意见不一致的情况，按照少数服从多数的原则确定。</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2.3.</w:t>
      </w:r>
      <w:r>
        <w:rPr>
          <w:rFonts w:hint="eastAsia" w:ascii="仿宋" w:hAnsi="仿宋" w:eastAsia="仿宋" w:cs="仿宋"/>
          <w:color w:val="000000" w:themeColor="text1"/>
          <w:sz w:val="24"/>
          <w:szCs w:val="24"/>
          <w:highlight w:val="none"/>
          <w:lang w:val="en-US" w:eastAsia="zh-CN"/>
        </w:rPr>
        <w:t>5</w:t>
      </w:r>
      <w:r>
        <w:rPr>
          <w:rFonts w:hint="eastAsia" w:ascii="仿宋" w:hAnsi="仿宋" w:eastAsia="仿宋" w:cs="仿宋"/>
          <w:color w:val="000000" w:themeColor="text1"/>
          <w:sz w:val="24"/>
          <w:szCs w:val="24"/>
          <w:highlight w:val="none"/>
        </w:rPr>
        <w:t>本采购项目的评审因素和标准见下列综合评分明细表。</w:t>
      </w:r>
    </w:p>
    <w:p>
      <w:pPr>
        <w:spacing w:line="440" w:lineRule="exact"/>
        <w:jc w:val="center"/>
        <w:rPr>
          <w:rFonts w:hint="eastAsia" w:ascii="仿宋" w:hAnsi="仿宋" w:eastAsia="仿宋" w:cs="仿宋"/>
          <w:b/>
          <w:color w:val="000000" w:themeColor="text1"/>
          <w:szCs w:val="21"/>
          <w:highlight w:val="none"/>
        </w:rPr>
      </w:pPr>
    </w:p>
    <w:p>
      <w:pPr>
        <w:spacing w:line="440" w:lineRule="exact"/>
        <w:jc w:val="center"/>
        <w:rPr>
          <w:rFonts w:hint="eastAsia" w:ascii="仿宋" w:hAnsi="仿宋" w:eastAsia="仿宋" w:cs="仿宋"/>
          <w:b/>
          <w:color w:val="000000" w:themeColor="text1"/>
          <w:szCs w:val="21"/>
          <w:highlight w:val="none"/>
        </w:rPr>
      </w:pPr>
    </w:p>
    <w:p>
      <w:pPr>
        <w:spacing w:line="440" w:lineRule="exact"/>
        <w:jc w:val="center"/>
        <w:rPr>
          <w:rFonts w:hint="eastAsia" w:ascii="仿宋" w:hAnsi="仿宋" w:eastAsia="仿宋" w:cs="仿宋"/>
          <w:color w:val="000000" w:themeColor="text1"/>
          <w:highlight w:val="none"/>
        </w:rPr>
      </w:pPr>
      <w:r>
        <w:rPr>
          <w:rFonts w:hint="eastAsia" w:ascii="仿宋" w:hAnsi="仿宋" w:eastAsia="仿宋" w:cs="仿宋"/>
          <w:b/>
          <w:color w:val="000000" w:themeColor="text1"/>
          <w:szCs w:val="21"/>
          <w:highlight w:val="none"/>
        </w:rPr>
        <w:t>综合评分明细表</w:t>
      </w:r>
    </w:p>
    <w:tbl>
      <w:tblPr>
        <w:tblStyle w:val="47"/>
        <w:tblpPr w:leftFromText="180" w:rightFromText="180" w:vertAnchor="text" w:horzAnchor="page" w:tblpX="1260" w:tblpY="476"/>
        <w:tblOverlap w:val="never"/>
        <w:tblW w:w="947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166"/>
        <w:gridCol w:w="749"/>
        <w:gridCol w:w="69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0" w:type="dxa"/>
            <w:tcBorders>
              <w:top w:val="single" w:color="auto" w:sz="12" w:space="0"/>
              <w:left w:val="single" w:color="auto" w:sz="12" w:space="0"/>
              <w:bottom w:val="single" w:color="auto" w:sz="4" w:space="0"/>
              <w:right w:val="single" w:color="auto" w:sz="4" w:space="0"/>
            </w:tcBorders>
            <w:shd w:val="clear" w:color="auto" w:fill="auto"/>
            <w:tcMar>
              <w:left w:w="57" w:type="dxa"/>
              <w:right w:w="57" w:type="dxa"/>
            </w:tcMar>
            <w:vAlign w:val="center"/>
          </w:tcPr>
          <w:p>
            <w:pPr>
              <w:spacing w:line="440" w:lineRule="exact"/>
              <w:jc w:val="center"/>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序号</w:t>
            </w:r>
          </w:p>
        </w:tc>
        <w:tc>
          <w:tcPr>
            <w:tcW w:w="1166" w:type="dxa"/>
            <w:tcBorders>
              <w:top w:val="single" w:color="auto" w:sz="12"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440" w:lineRule="exact"/>
              <w:jc w:val="center"/>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评分因素</w:t>
            </w:r>
          </w:p>
        </w:tc>
        <w:tc>
          <w:tcPr>
            <w:tcW w:w="749" w:type="dxa"/>
            <w:tcBorders>
              <w:top w:val="single" w:color="auto" w:sz="12"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440" w:lineRule="exact"/>
              <w:jc w:val="center"/>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分值</w:t>
            </w:r>
          </w:p>
        </w:tc>
        <w:tc>
          <w:tcPr>
            <w:tcW w:w="6933" w:type="dxa"/>
            <w:tcBorders>
              <w:top w:val="single" w:color="auto" w:sz="12" w:space="0"/>
              <w:left w:val="single" w:color="auto" w:sz="4" w:space="0"/>
              <w:bottom w:val="single" w:color="auto" w:sz="4" w:space="0"/>
              <w:right w:val="single" w:color="auto" w:sz="12" w:space="0"/>
            </w:tcBorders>
            <w:shd w:val="clear" w:color="auto" w:fill="auto"/>
            <w:tcMar>
              <w:left w:w="57" w:type="dxa"/>
              <w:right w:w="57" w:type="dxa"/>
            </w:tcMar>
            <w:vAlign w:val="center"/>
          </w:tcPr>
          <w:p>
            <w:pPr>
              <w:spacing w:line="440" w:lineRule="exact"/>
              <w:jc w:val="center"/>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30" w:type="dxa"/>
            <w:tcBorders>
              <w:top w:val="single" w:color="auto" w:sz="4" w:space="0"/>
              <w:left w:val="single" w:color="auto" w:sz="12"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w:t>
            </w:r>
          </w:p>
        </w:tc>
        <w:tc>
          <w:tcPr>
            <w:tcW w:w="116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磋商报价</w:t>
            </w:r>
          </w:p>
        </w:tc>
        <w:tc>
          <w:tcPr>
            <w:tcW w:w="74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30</w:t>
            </w:r>
          </w:p>
        </w:tc>
        <w:tc>
          <w:tcPr>
            <w:tcW w:w="6933" w:type="dxa"/>
            <w:tcBorders>
              <w:top w:val="single" w:color="auto" w:sz="4" w:space="0"/>
              <w:left w:val="single" w:color="auto" w:sz="4" w:space="0"/>
              <w:bottom w:val="single" w:color="auto" w:sz="4" w:space="0"/>
              <w:right w:val="single" w:color="auto" w:sz="12" w:space="0"/>
            </w:tcBorders>
            <w:shd w:val="clear" w:color="auto" w:fill="auto"/>
            <w:tcMar>
              <w:left w:w="142" w:type="dxa"/>
              <w:right w:w="142" w:type="dxa"/>
            </w:tcMar>
            <w:vAlign w:val="center"/>
          </w:tcPr>
          <w:p>
            <w:pPr>
              <w:spacing w:line="320" w:lineRule="exact"/>
              <w:textAlignment w:val="center"/>
              <w:rPr>
                <w:rFonts w:hint="eastAsia" w:ascii="仿宋" w:hAnsi="仿宋" w:eastAsia="仿宋" w:cs="仿宋"/>
                <w:bCs/>
                <w:color w:val="000000" w:themeColor="text1"/>
                <w:szCs w:val="21"/>
                <w:highlight w:val="none"/>
              </w:rPr>
            </w:pPr>
            <w:r>
              <w:rPr>
                <w:rFonts w:hint="eastAsia" w:ascii="仿宋" w:hAnsi="仿宋" w:eastAsia="仿宋" w:cs="仿宋"/>
                <w:bCs/>
                <w:color w:val="000000" w:themeColor="text1"/>
                <w:szCs w:val="21"/>
                <w:highlight w:val="none"/>
              </w:rPr>
              <w:t>按照财政部《关于加强政府采购货物和服务项目价格评审管理的通知》（财库[2007]2号）的有关规定：价格分采用低价优先法计算，即满足竞争性磋商文件要求且磋商价格最低的磋商报价为评审基准价，其价格分为满分。其他供应商的价格分统一按照下列公式计算：</w:t>
            </w:r>
          </w:p>
          <w:p>
            <w:pPr>
              <w:spacing w:line="320" w:lineRule="exact"/>
              <w:textAlignment w:val="center"/>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磋商报价得分=（评标基准价/磋商评审价）×价格权值</w:t>
            </w:r>
          </w:p>
          <w:p>
            <w:pPr>
              <w:spacing w:line="320" w:lineRule="exact"/>
              <w:textAlignment w:val="center"/>
              <w:rPr>
                <w:rFonts w:hint="eastAsia" w:ascii="仿宋" w:hAnsi="仿宋" w:eastAsia="仿宋" w:cs="仿宋"/>
                <w:bCs/>
                <w:color w:val="000000" w:themeColor="text1"/>
                <w:szCs w:val="21"/>
                <w:highlight w:val="none"/>
              </w:rPr>
            </w:pPr>
            <w:r>
              <w:rPr>
                <w:rFonts w:hint="eastAsia" w:ascii="仿宋" w:hAnsi="仿宋" w:eastAsia="仿宋" w:cs="仿宋"/>
                <w:bCs/>
                <w:color w:val="000000" w:themeColor="text1"/>
                <w:szCs w:val="21"/>
                <w:highlight w:val="none"/>
              </w:rPr>
              <w:t>符合竞争性磋商文件规定的中小企业、监狱企业、戒毒企业、残疾人福利性质企业优惠条件的供应商，价格给予相应的扣除，用扣除后的价格参与评审。（具体扣除办法参照本章节评审办法）</w:t>
            </w:r>
          </w:p>
          <w:p>
            <w:pPr>
              <w:spacing w:line="320" w:lineRule="exact"/>
              <w:textAlignment w:val="center"/>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注：1、磋商小组三分之二以上成员认为某磋商报价有低于成本价嫌疑的，涉嫌不正当竞争的，为无效报价。</w:t>
            </w:r>
          </w:p>
          <w:p>
            <w:pPr>
              <w:spacing w:line="320" w:lineRule="exact"/>
              <w:textAlignment w:val="center"/>
              <w:rPr>
                <w:rFonts w:hint="eastAsia"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2、残疾人福利性单位属于小型、微型企业的，不重复享受政策。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30" w:type="dxa"/>
            <w:tcBorders>
              <w:top w:val="single" w:color="auto" w:sz="4" w:space="0"/>
              <w:left w:val="single" w:color="auto" w:sz="12"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w:t>
            </w:r>
          </w:p>
        </w:tc>
        <w:tc>
          <w:tcPr>
            <w:tcW w:w="116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商务响应</w:t>
            </w:r>
          </w:p>
        </w:tc>
        <w:tc>
          <w:tcPr>
            <w:tcW w:w="74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5</w:t>
            </w:r>
          </w:p>
        </w:tc>
        <w:tc>
          <w:tcPr>
            <w:tcW w:w="6933" w:type="dxa"/>
            <w:tcBorders>
              <w:top w:val="single" w:color="auto" w:sz="4" w:space="0"/>
              <w:left w:val="single" w:color="auto" w:sz="4" w:space="0"/>
              <w:bottom w:val="single" w:color="auto" w:sz="4" w:space="0"/>
              <w:right w:val="single" w:color="auto" w:sz="12" w:space="0"/>
            </w:tcBorders>
            <w:shd w:val="clear" w:color="auto" w:fill="auto"/>
            <w:tcMar>
              <w:left w:w="142" w:type="dxa"/>
              <w:right w:w="142" w:type="dxa"/>
            </w:tcMar>
            <w:vAlign w:val="center"/>
          </w:tcPr>
          <w:p>
            <w:pPr>
              <w:spacing w:line="320" w:lineRule="exact"/>
              <w:jc w:val="left"/>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满足商务合同条款要求，并附有各条款详细说明，并对结算办法、交货时间、交货地点、</w:t>
            </w:r>
            <w:r>
              <w:rPr>
                <w:rFonts w:hint="eastAsia" w:ascii="仿宋" w:hAnsi="仿宋" w:eastAsia="仿宋" w:cs="仿宋"/>
                <w:color w:val="000000" w:themeColor="text1"/>
                <w:szCs w:val="21"/>
                <w:highlight w:val="none"/>
              </w:rPr>
              <w:t>验收、售后</w:t>
            </w:r>
            <w:r>
              <w:rPr>
                <w:rFonts w:hint="eastAsia" w:ascii="仿宋" w:hAnsi="仿宋" w:eastAsia="仿宋" w:cs="仿宋"/>
                <w:bCs/>
                <w:color w:val="000000" w:themeColor="text1"/>
                <w:szCs w:val="21"/>
                <w:highlight w:val="none"/>
              </w:rPr>
              <w:t>等商务要求进行响应说明，根据响应程度计1-5分，无响应说明不计分。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630" w:type="dxa"/>
            <w:tcBorders>
              <w:top w:val="single" w:color="auto" w:sz="4" w:space="0"/>
              <w:left w:val="single" w:color="auto" w:sz="12"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w:t>
            </w:r>
          </w:p>
        </w:tc>
        <w:tc>
          <w:tcPr>
            <w:tcW w:w="116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技术指标响应情况</w:t>
            </w:r>
          </w:p>
        </w:tc>
        <w:tc>
          <w:tcPr>
            <w:tcW w:w="74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35</w:t>
            </w:r>
          </w:p>
        </w:tc>
        <w:tc>
          <w:tcPr>
            <w:tcW w:w="6933" w:type="dxa"/>
            <w:tcBorders>
              <w:top w:val="single" w:color="auto" w:sz="4" w:space="0"/>
              <w:left w:val="single" w:color="auto" w:sz="4" w:space="0"/>
              <w:bottom w:val="single" w:color="auto" w:sz="4" w:space="0"/>
              <w:right w:val="single" w:color="auto" w:sz="12" w:space="0"/>
            </w:tcBorders>
            <w:shd w:val="clear" w:color="auto" w:fill="auto"/>
            <w:tcMar>
              <w:left w:w="142" w:type="dxa"/>
              <w:right w:w="142" w:type="dxa"/>
            </w:tcMar>
            <w:vAlign w:val="center"/>
          </w:tcPr>
          <w:p>
            <w:pPr>
              <w:widowControl/>
              <w:jc w:val="left"/>
              <w:rPr>
                <w:rFonts w:hint="eastAsia" w:ascii="仿宋" w:hAnsi="仿宋" w:eastAsia="仿宋" w:cs="仿宋"/>
                <w:color w:val="000000" w:themeColor="text1"/>
                <w:szCs w:val="21"/>
                <w:highlight w:val="none"/>
              </w:rPr>
            </w:pPr>
            <w:r>
              <w:rPr>
                <w:rFonts w:hint="eastAsia" w:ascii="仿宋" w:hAnsi="仿宋" w:eastAsia="仿宋" w:cs="仿宋"/>
                <w:color w:val="000000" w:themeColor="text1"/>
                <w:kern w:val="20"/>
                <w:sz w:val="21"/>
                <w:szCs w:val="21"/>
                <w:highlight w:val="none"/>
              </w:rPr>
              <w:t>所投产品的性能、参数的响应性：</w:t>
            </w:r>
            <w:r>
              <w:rPr>
                <w:rFonts w:hint="eastAsia" w:ascii="仿宋" w:hAnsi="仿宋" w:eastAsia="仿宋" w:cs="仿宋"/>
                <w:color w:val="000000" w:themeColor="text1"/>
                <w:szCs w:val="21"/>
                <w:highlight w:val="none"/>
              </w:rPr>
              <w:t>投标响应文件需逐条响应，响应文件中有一项指标不满足（负偏离）扣</w:t>
            </w:r>
            <w:r>
              <w:rPr>
                <w:rFonts w:hint="eastAsia" w:ascii="仿宋" w:hAnsi="仿宋" w:eastAsia="仿宋" w:cs="仿宋"/>
                <w:color w:val="000000" w:themeColor="text1"/>
                <w:szCs w:val="21"/>
                <w:highlight w:val="none"/>
                <w:lang w:val="en-US" w:eastAsia="zh-CN"/>
              </w:rPr>
              <w:t>3</w:t>
            </w:r>
            <w:r>
              <w:rPr>
                <w:rFonts w:hint="eastAsia" w:ascii="仿宋" w:hAnsi="仿宋" w:eastAsia="仿宋" w:cs="仿宋"/>
                <w:color w:val="000000" w:themeColor="text1"/>
                <w:szCs w:val="21"/>
                <w:highlight w:val="none"/>
              </w:rPr>
              <w:t>分，扣完为止。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4" w:hRule="exact"/>
        </w:trPr>
        <w:tc>
          <w:tcPr>
            <w:tcW w:w="630" w:type="dxa"/>
            <w:tcBorders>
              <w:top w:val="single" w:color="auto" w:sz="4" w:space="0"/>
              <w:left w:val="single" w:color="auto" w:sz="12"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4</w:t>
            </w:r>
          </w:p>
        </w:tc>
        <w:tc>
          <w:tcPr>
            <w:tcW w:w="116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项目实施方案及进度计划安排</w:t>
            </w:r>
          </w:p>
        </w:tc>
        <w:tc>
          <w:tcPr>
            <w:tcW w:w="74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10</w:t>
            </w:r>
          </w:p>
        </w:tc>
        <w:tc>
          <w:tcPr>
            <w:tcW w:w="6933" w:type="dxa"/>
            <w:tcBorders>
              <w:top w:val="single" w:color="auto" w:sz="4" w:space="0"/>
              <w:left w:val="single" w:color="auto" w:sz="4" w:space="0"/>
              <w:bottom w:val="single" w:color="auto" w:sz="4" w:space="0"/>
              <w:right w:val="single" w:color="auto" w:sz="12" w:space="0"/>
            </w:tcBorders>
            <w:shd w:val="clear" w:color="auto" w:fill="auto"/>
            <w:tcMar>
              <w:left w:w="142" w:type="dxa"/>
              <w:right w:w="142" w:type="dxa"/>
            </w:tcMar>
            <w:vAlign w:val="center"/>
          </w:tcPr>
          <w:p>
            <w:pPr>
              <w:pStyle w:val="6"/>
              <w:rPr>
                <w:rFonts w:hint="eastAsia" w:ascii="仿宋" w:hAnsi="仿宋" w:eastAsia="仿宋" w:cs="仿宋"/>
                <w:color w:val="000000" w:themeColor="text1"/>
                <w:sz w:val="21"/>
                <w:szCs w:val="21"/>
                <w:highlight w:val="none"/>
              </w:rPr>
            </w:pPr>
            <w:r>
              <w:rPr>
                <w:rFonts w:hint="eastAsia" w:ascii="仿宋" w:hAnsi="仿宋" w:eastAsia="仿宋" w:cs="仿宋"/>
                <w:b w:val="0"/>
                <w:bCs/>
                <w:color w:val="000000" w:themeColor="text1"/>
                <w:kern w:val="2"/>
                <w:sz w:val="21"/>
                <w:szCs w:val="21"/>
                <w:highlight w:val="none"/>
              </w:rPr>
              <w:t>项目实施方案的完整性、项目进度计划安排的合理性：交货、安装、调试、测试、培训、应急措施、人员配备等对采购人的有利性以及保证项目顺利实施的其他因素。方案内容全面、计划合理可行，优得</w:t>
            </w:r>
            <w:r>
              <w:rPr>
                <w:rFonts w:hint="eastAsia" w:ascii="仿宋" w:hAnsi="仿宋" w:eastAsia="仿宋" w:cs="仿宋"/>
                <w:b w:val="0"/>
                <w:bCs/>
                <w:color w:val="000000" w:themeColor="text1"/>
                <w:kern w:val="2"/>
                <w:sz w:val="21"/>
                <w:szCs w:val="21"/>
                <w:highlight w:val="none"/>
                <w:lang w:val="en-US" w:eastAsia="zh-CN"/>
              </w:rPr>
              <w:t>9-</w:t>
            </w:r>
            <w:r>
              <w:rPr>
                <w:rFonts w:hint="eastAsia" w:ascii="仿宋" w:hAnsi="仿宋" w:eastAsia="仿宋" w:cs="仿宋"/>
                <w:b w:val="0"/>
                <w:bCs/>
                <w:color w:val="000000" w:themeColor="text1"/>
                <w:kern w:val="2"/>
                <w:sz w:val="21"/>
                <w:szCs w:val="21"/>
                <w:highlight w:val="none"/>
              </w:rPr>
              <w:t>10分，良得</w:t>
            </w:r>
            <w:r>
              <w:rPr>
                <w:rFonts w:hint="eastAsia" w:ascii="仿宋" w:hAnsi="仿宋" w:eastAsia="仿宋" w:cs="仿宋"/>
                <w:b w:val="0"/>
                <w:bCs/>
                <w:color w:val="000000" w:themeColor="text1"/>
                <w:kern w:val="2"/>
                <w:sz w:val="21"/>
                <w:szCs w:val="21"/>
                <w:highlight w:val="none"/>
                <w:lang w:val="en-US" w:eastAsia="zh-CN"/>
              </w:rPr>
              <w:t>6</w:t>
            </w:r>
            <w:r>
              <w:rPr>
                <w:rFonts w:hint="eastAsia" w:ascii="仿宋" w:hAnsi="仿宋" w:eastAsia="仿宋" w:cs="仿宋"/>
                <w:b w:val="0"/>
                <w:bCs/>
                <w:color w:val="000000" w:themeColor="text1"/>
                <w:kern w:val="2"/>
                <w:sz w:val="21"/>
                <w:szCs w:val="21"/>
                <w:highlight w:val="none"/>
              </w:rPr>
              <w:t>-</w:t>
            </w:r>
            <w:r>
              <w:rPr>
                <w:rFonts w:hint="eastAsia" w:ascii="仿宋" w:hAnsi="仿宋" w:eastAsia="仿宋" w:cs="仿宋"/>
                <w:b w:val="0"/>
                <w:bCs/>
                <w:color w:val="000000" w:themeColor="text1"/>
                <w:kern w:val="2"/>
                <w:sz w:val="21"/>
                <w:szCs w:val="21"/>
                <w:highlight w:val="none"/>
                <w:lang w:val="en-US" w:eastAsia="zh-CN"/>
              </w:rPr>
              <w:t>8</w:t>
            </w:r>
            <w:r>
              <w:rPr>
                <w:rFonts w:hint="eastAsia" w:ascii="仿宋" w:hAnsi="仿宋" w:eastAsia="仿宋" w:cs="仿宋"/>
                <w:b w:val="0"/>
                <w:bCs/>
                <w:color w:val="000000" w:themeColor="text1"/>
                <w:kern w:val="2"/>
                <w:sz w:val="21"/>
                <w:szCs w:val="21"/>
                <w:highlight w:val="none"/>
              </w:rPr>
              <w:t>分，中得</w:t>
            </w:r>
            <w:r>
              <w:rPr>
                <w:rFonts w:hint="eastAsia" w:ascii="仿宋" w:hAnsi="仿宋" w:eastAsia="仿宋" w:cs="仿宋"/>
                <w:b w:val="0"/>
                <w:bCs/>
                <w:color w:val="000000" w:themeColor="text1"/>
                <w:kern w:val="2"/>
                <w:sz w:val="21"/>
                <w:szCs w:val="21"/>
                <w:highlight w:val="none"/>
                <w:lang w:val="en-US" w:eastAsia="zh-CN"/>
              </w:rPr>
              <w:t>3</w:t>
            </w:r>
            <w:r>
              <w:rPr>
                <w:rFonts w:hint="eastAsia" w:ascii="仿宋" w:hAnsi="仿宋" w:eastAsia="仿宋" w:cs="仿宋"/>
                <w:b w:val="0"/>
                <w:bCs/>
                <w:color w:val="000000" w:themeColor="text1"/>
                <w:kern w:val="2"/>
                <w:sz w:val="21"/>
                <w:szCs w:val="21"/>
                <w:highlight w:val="none"/>
              </w:rPr>
              <w:t>-</w:t>
            </w:r>
            <w:r>
              <w:rPr>
                <w:rFonts w:hint="eastAsia" w:ascii="仿宋" w:hAnsi="仿宋" w:eastAsia="仿宋" w:cs="仿宋"/>
                <w:b w:val="0"/>
                <w:bCs/>
                <w:color w:val="000000" w:themeColor="text1"/>
                <w:kern w:val="2"/>
                <w:sz w:val="21"/>
                <w:szCs w:val="21"/>
                <w:highlight w:val="none"/>
                <w:lang w:val="en-US" w:eastAsia="zh-CN"/>
              </w:rPr>
              <w:t>5</w:t>
            </w:r>
            <w:r>
              <w:rPr>
                <w:rFonts w:hint="eastAsia" w:ascii="仿宋" w:hAnsi="仿宋" w:eastAsia="仿宋" w:cs="仿宋"/>
                <w:b w:val="0"/>
                <w:bCs/>
                <w:color w:val="000000" w:themeColor="text1"/>
                <w:kern w:val="2"/>
                <w:sz w:val="21"/>
                <w:szCs w:val="21"/>
                <w:highlight w:val="none"/>
              </w:rPr>
              <w:t>分，差</w:t>
            </w:r>
            <w:r>
              <w:rPr>
                <w:rFonts w:hint="eastAsia" w:ascii="仿宋" w:hAnsi="仿宋" w:eastAsia="仿宋" w:cs="仿宋"/>
                <w:b w:val="0"/>
                <w:bCs/>
                <w:color w:val="000000" w:themeColor="text1"/>
                <w:kern w:val="2"/>
                <w:sz w:val="21"/>
                <w:szCs w:val="21"/>
                <w:highlight w:val="none"/>
                <w:lang w:val="en-US" w:eastAsia="zh-CN"/>
              </w:rPr>
              <w:t>1-2</w:t>
            </w:r>
            <w:r>
              <w:rPr>
                <w:rFonts w:hint="eastAsia" w:ascii="仿宋" w:hAnsi="仿宋" w:eastAsia="仿宋" w:cs="仿宋"/>
                <w:b w:val="0"/>
                <w:bCs/>
                <w:color w:val="000000" w:themeColor="text1"/>
                <w:kern w:val="2"/>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9" w:hRule="exact"/>
        </w:trPr>
        <w:tc>
          <w:tcPr>
            <w:tcW w:w="630" w:type="dxa"/>
            <w:tcBorders>
              <w:top w:val="single" w:color="auto" w:sz="4" w:space="0"/>
              <w:left w:val="single" w:color="auto" w:sz="12"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5</w:t>
            </w:r>
          </w:p>
        </w:tc>
        <w:tc>
          <w:tcPr>
            <w:tcW w:w="116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培训方案</w:t>
            </w:r>
          </w:p>
        </w:tc>
        <w:tc>
          <w:tcPr>
            <w:tcW w:w="74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5</w:t>
            </w:r>
          </w:p>
        </w:tc>
        <w:tc>
          <w:tcPr>
            <w:tcW w:w="6933" w:type="dxa"/>
            <w:tcBorders>
              <w:top w:val="single" w:color="auto" w:sz="4" w:space="0"/>
              <w:left w:val="single" w:color="auto" w:sz="4" w:space="0"/>
              <w:bottom w:val="single" w:color="auto" w:sz="4" w:space="0"/>
              <w:right w:val="single" w:color="auto" w:sz="12" w:space="0"/>
            </w:tcBorders>
            <w:shd w:val="clear" w:color="auto" w:fill="auto"/>
            <w:tcMar>
              <w:left w:w="142" w:type="dxa"/>
              <w:right w:w="142" w:type="dxa"/>
            </w:tcMar>
            <w:vAlign w:val="center"/>
          </w:tcPr>
          <w:p>
            <w:pPr>
              <w:pStyle w:val="41"/>
              <w:spacing w:beforeAutospacing="0" w:afterAutospacing="0"/>
              <w:ind w:right="142"/>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负责为使用单位培训操作维护人员，并有完整的培训方案，培训方案须包括：培训日程、培训地点、培训内容、负责培训的人员安排等内容。</w:t>
            </w:r>
          </w:p>
          <w:p>
            <w:pPr>
              <w:widowControl/>
              <w:jc w:val="lef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优得5分；良得3</w:t>
            </w:r>
            <w:r>
              <w:rPr>
                <w:rFonts w:hint="eastAsia" w:ascii="仿宋" w:hAnsi="仿宋" w:eastAsia="仿宋" w:cs="仿宋"/>
                <w:color w:val="000000" w:themeColor="text1"/>
                <w:szCs w:val="21"/>
                <w:highlight w:val="none"/>
                <w:lang w:val="en-US" w:eastAsia="zh-CN"/>
              </w:rPr>
              <w:t>-4</w:t>
            </w:r>
            <w:r>
              <w:rPr>
                <w:rFonts w:hint="eastAsia" w:ascii="仿宋" w:hAnsi="仿宋" w:eastAsia="仿宋" w:cs="仿宋"/>
                <w:color w:val="000000" w:themeColor="text1"/>
                <w:szCs w:val="21"/>
                <w:highlight w:val="none"/>
              </w:rPr>
              <w:t>分，中得</w:t>
            </w:r>
            <w:r>
              <w:rPr>
                <w:rFonts w:hint="eastAsia" w:ascii="仿宋" w:hAnsi="仿宋" w:eastAsia="仿宋" w:cs="仿宋"/>
                <w:color w:val="000000" w:themeColor="text1"/>
                <w:szCs w:val="21"/>
                <w:highlight w:val="none"/>
                <w:lang w:val="en-US" w:eastAsia="zh-CN"/>
              </w:rPr>
              <w:t>1-2</w:t>
            </w:r>
            <w:r>
              <w:rPr>
                <w:rFonts w:hint="eastAsia" w:ascii="仿宋" w:hAnsi="仿宋" w:eastAsia="仿宋" w:cs="仿宋"/>
                <w:color w:val="000000" w:themeColor="text1"/>
                <w:szCs w:val="21"/>
                <w:highlight w:val="none"/>
              </w:rPr>
              <w:t>分，差为0分。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4" w:hRule="exact"/>
        </w:trPr>
        <w:tc>
          <w:tcPr>
            <w:tcW w:w="630" w:type="dxa"/>
            <w:tcBorders>
              <w:top w:val="single" w:color="auto" w:sz="4" w:space="0"/>
              <w:left w:val="single" w:color="auto" w:sz="12"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6</w:t>
            </w:r>
          </w:p>
        </w:tc>
        <w:tc>
          <w:tcPr>
            <w:tcW w:w="116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业绩</w:t>
            </w:r>
          </w:p>
        </w:tc>
        <w:tc>
          <w:tcPr>
            <w:tcW w:w="74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5</w:t>
            </w:r>
          </w:p>
        </w:tc>
        <w:tc>
          <w:tcPr>
            <w:tcW w:w="6933" w:type="dxa"/>
            <w:tcBorders>
              <w:top w:val="single" w:color="auto" w:sz="4" w:space="0"/>
              <w:left w:val="single" w:color="auto" w:sz="4" w:space="0"/>
              <w:bottom w:val="single" w:color="auto" w:sz="4" w:space="0"/>
              <w:right w:val="single" w:color="auto" w:sz="12" w:space="0"/>
            </w:tcBorders>
            <w:shd w:val="clear" w:color="auto" w:fill="auto"/>
            <w:tcMar>
              <w:left w:w="142" w:type="dxa"/>
              <w:right w:w="142" w:type="dxa"/>
            </w:tcMar>
            <w:vAlign w:val="center"/>
          </w:tcPr>
          <w:p>
            <w:pPr>
              <w:spacing w:line="320" w:lineRule="exact"/>
              <w:textAlignment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业绩：供应商</w:t>
            </w:r>
            <w:r>
              <w:rPr>
                <w:rFonts w:hint="eastAsia" w:ascii="仿宋" w:hAnsi="仿宋" w:eastAsia="仿宋" w:cs="仿宋"/>
                <w:color w:val="000000" w:themeColor="text1"/>
                <w:szCs w:val="21"/>
                <w:highlight w:val="none"/>
                <w:lang w:eastAsia="zh-CN"/>
              </w:rPr>
              <w:t>或所投产品生产商</w:t>
            </w:r>
            <w:r>
              <w:rPr>
                <w:rFonts w:hint="eastAsia" w:ascii="仿宋" w:hAnsi="仿宋" w:eastAsia="仿宋" w:cs="仿宋"/>
                <w:color w:val="000000" w:themeColor="text1"/>
                <w:szCs w:val="21"/>
                <w:highlight w:val="none"/>
              </w:rPr>
              <w:t>近三年</w:t>
            </w:r>
            <w:r>
              <w:rPr>
                <w:rFonts w:hint="eastAsia" w:ascii="仿宋" w:hAnsi="仿宋" w:eastAsia="仿宋" w:cs="仿宋"/>
                <w:color w:val="000000" w:themeColor="text1"/>
                <w:szCs w:val="21"/>
                <w:highlight w:val="none"/>
                <w:lang w:eastAsia="zh-CN"/>
              </w:rPr>
              <w:t>在监狱系统实施的</w:t>
            </w:r>
            <w:r>
              <w:rPr>
                <w:rFonts w:hint="eastAsia" w:ascii="仿宋" w:hAnsi="仿宋" w:eastAsia="仿宋" w:cs="仿宋"/>
                <w:color w:val="000000" w:themeColor="text1"/>
                <w:szCs w:val="21"/>
                <w:highlight w:val="none"/>
              </w:rPr>
              <w:t>同类项目业绩（无人机</w:t>
            </w:r>
            <w:r>
              <w:rPr>
                <w:rFonts w:hint="eastAsia" w:ascii="仿宋" w:hAnsi="仿宋" w:eastAsia="仿宋" w:cs="仿宋"/>
                <w:color w:val="000000" w:themeColor="text1"/>
                <w:szCs w:val="21"/>
                <w:highlight w:val="none"/>
                <w:lang w:eastAsia="zh-CN"/>
              </w:rPr>
              <w:t>防御</w:t>
            </w:r>
            <w:r>
              <w:rPr>
                <w:rFonts w:hint="eastAsia" w:ascii="仿宋" w:hAnsi="仿宋" w:eastAsia="仿宋" w:cs="仿宋"/>
                <w:color w:val="000000" w:themeColor="text1"/>
                <w:szCs w:val="21"/>
                <w:highlight w:val="none"/>
              </w:rPr>
              <w:t>设备及相关业务业绩合同或验收报告），每个得1分，最高得5分（业绩证明原件放在资格证明文件中备查）。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9" w:hRule="exact"/>
        </w:trPr>
        <w:tc>
          <w:tcPr>
            <w:tcW w:w="630" w:type="dxa"/>
            <w:tcBorders>
              <w:top w:val="single" w:color="auto" w:sz="4" w:space="0"/>
              <w:left w:val="single" w:color="auto" w:sz="12"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b/>
                <w:color w:val="000000" w:themeColor="text1"/>
                <w:szCs w:val="21"/>
                <w:highlight w:val="none"/>
              </w:rPr>
            </w:pPr>
            <w:r>
              <w:rPr>
                <w:rFonts w:hint="eastAsia" w:ascii="仿宋" w:hAnsi="仿宋" w:eastAsia="仿宋" w:cs="仿宋"/>
                <w:color w:val="000000" w:themeColor="text1"/>
                <w:szCs w:val="21"/>
                <w:highlight w:val="none"/>
              </w:rPr>
              <w:t>7</w:t>
            </w:r>
          </w:p>
        </w:tc>
        <w:tc>
          <w:tcPr>
            <w:tcW w:w="116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b/>
                <w:color w:val="000000" w:themeColor="text1"/>
                <w:szCs w:val="21"/>
                <w:highlight w:val="none"/>
              </w:rPr>
            </w:pPr>
            <w:r>
              <w:rPr>
                <w:rFonts w:hint="eastAsia" w:ascii="仿宋" w:hAnsi="仿宋" w:eastAsia="仿宋" w:cs="仿宋"/>
                <w:bCs/>
                <w:color w:val="000000" w:themeColor="text1"/>
                <w:szCs w:val="21"/>
                <w:highlight w:val="none"/>
              </w:rPr>
              <w:t>售后服务</w:t>
            </w:r>
          </w:p>
        </w:tc>
        <w:tc>
          <w:tcPr>
            <w:tcW w:w="74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320" w:lineRule="exact"/>
              <w:jc w:val="center"/>
              <w:rPr>
                <w:rFonts w:hint="eastAsia" w:ascii="仿宋" w:hAnsi="仿宋" w:eastAsia="仿宋" w:cs="仿宋"/>
                <w:b/>
                <w:color w:val="000000" w:themeColor="text1"/>
                <w:szCs w:val="21"/>
                <w:highlight w:val="none"/>
              </w:rPr>
            </w:pPr>
            <w:r>
              <w:rPr>
                <w:rFonts w:hint="eastAsia" w:ascii="仿宋" w:hAnsi="仿宋" w:eastAsia="仿宋" w:cs="仿宋"/>
                <w:color w:val="000000" w:themeColor="text1"/>
                <w:szCs w:val="21"/>
                <w:highlight w:val="none"/>
              </w:rPr>
              <w:t>10</w:t>
            </w:r>
          </w:p>
        </w:tc>
        <w:tc>
          <w:tcPr>
            <w:tcW w:w="6933" w:type="dxa"/>
            <w:tcBorders>
              <w:top w:val="single" w:color="auto" w:sz="4" w:space="0"/>
              <w:left w:val="single" w:color="auto" w:sz="4" w:space="0"/>
              <w:bottom w:val="single" w:color="auto" w:sz="4" w:space="0"/>
              <w:right w:val="single" w:color="auto" w:sz="12" w:space="0"/>
            </w:tcBorders>
            <w:shd w:val="clear" w:color="auto" w:fill="auto"/>
            <w:tcMar>
              <w:left w:w="142" w:type="dxa"/>
              <w:right w:w="142" w:type="dxa"/>
            </w:tcMar>
            <w:vAlign w:val="center"/>
          </w:tcPr>
          <w:p>
            <w:pPr>
              <w:pStyle w:val="41"/>
              <w:spacing w:beforeAutospacing="0" w:afterAutospacing="0" w:line="320" w:lineRule="exact"/>
              <w:ind w:right="-71"/>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投标人提供售后服务本地适应性的书面方案，须包括但不限于以下内容：</w:t>
            </w:r>
          </w:p>
          <w:p>
            <w:pPr>
              <w:pStyle w:val="41"/>
              <w:spacing w:beforeAutospacing="0" w:afterAutospacing="0" w:line="320" w:lineRule="exact"/>
              <w:ind w:right="142"/>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1、服务标准；</w:t>
            </w:r>
          </w:p>
          <w:p>
            <w:pPr>
              <w:pStyle w:val="41"/>
              <w:spacing w:beforeAutospacing="0" w:afterAutospacing="0" w:line="320" w:lineRule="exact"/>
              <w:ind w:right="142"/>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2、服务内容；</w:t>
            </w:r>
          </w:p>
          <w:p>
            <w:pPr>
              <w:pStyle w:val="41"/>
              <w:spacing w:beforeAutospacing="0" w:afterAutospacing="0" w:line="320" w:lineRule="exact"/>
              <w:ind w:right="142"/>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3、服务人员安排；</w:t>
            </w:r>
          </w:p>
          <w:p>
            <w:pPr>
              <w:pStyle w:val="41"/>
              <w:spacing w:beforeAutospacing="0" w:afterAutospacing="0" w:line="320" w:lineRule="exact"/>
              <w:ind w:right="142"/>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4、售后服务响应时间：在接到采购人报修电话后，2小时内响应，4小时之内赶赴现场进行维修；</w:t>
            </w:r>
          </w:p>
          <w:p>
            <w:pPr>
              <w:pStyle w:val="41"/>
              <w:spacing w:beforeAutospacing="0" w:afterAutospacing="0" w:line="320" w:lineRule="exact"/>
              <w:ind w:right="142"/>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5、实际承诺提供的免费服务期限（产品质保期）；</w:t>
            </w:r>
          </w:p>
          <w:p>
            <w:pPr>
              <w:pStyle w:val="41"/>
              <w:spacing w:beforeAutospacing="0" w:afterAutospacing="0" w:line="320" w:lineRule="exact"/>
              <w:ind w:right="142"/>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6、在陕西省行政区域内的售后服务网点设置（提供租赁合同等能体现与投标人关联的证明文件，加盖投标人公章）。</w:t>
            </w:r>
          </w:p>
          <w:p>
            <w:pPr>
              <w:pStyle w:val="41"/>
              <w:spacing w:beforeAutospacing="0" w:afterAutospacing="0" w:line="320" w:lineRule="exact"/>
              <w:ind w:right="142"/>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7、针对本项目及采购人实际需求提供详细具体可行的售后服务措施承诺(</w:t>
            </w:r>
            <w:r>
              <w:rPr>
                <w:rFonts w:hint="eastAsia" w:ascii="仿宋" w:hAnsi="仿宋" w:eastAsia="仿宋" w:cs="仿宋"/>
                <w:color w:val="000000" w:themeColor="text1"/>
                <w:sz w:val="22"/>
                <w:szCs w:val="21"/>
                <w:highlight w:val="none"/>
              </w:rPr>
              <w:t>须提供产品制造商售后服务及质量保障承诺函，并加盖制造商公章)</w:t>
            </w:r>
            <w:r>
              <w:rPr>
                <w:rFonts w:hint="eastAsia" w:ascii="仿宋" w:hAnsi="仿宋" w:eastAsia="仿宋" w:cs="仿宋"/>
                <w:color w:val="000000" w:themeColor="text1"/>
                <w:kern w:val="2"/>
                <w:sz w:val="21"/>
                <w:szCs w:val="21"/>
                <w:highlight w:val="none"/>
              </w:rPr>
              <w:t>。</w:t>
            </w:r>
          </w:p>
          <w:p>
            <w:pPr>
              <w:pStyle w:val="41"/>
              <w:spacing w:beforeAutospacing="0" w:afterAutospacing="0" w:line="320" w:lineRule="exact"/>
              <w:ind w:right="142"/>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根据投标人提供的售后服务书面方案内容进行综合评分。</w:t>
            </w:r>
          </w:p>
          <w:p>
            <w:pPr>
              <w:widowControl/>
              <w:spacing w:line="320" w:lineRule="exact"/>
              <w:jc w:val="left"/>
              <w:rPr>
                <w:rFonts w:hint="eastAsia" w:ascii="仿宋" w:hAnsi="仿宋" w:eastAsia="仿宋" w:cs="仿宋"/>
                <w:bCs/>
                <w:color w:val="000000" w:themeColor="text1"/>
                <w:szCs w:val="21"/>
                <w:highlight w:val="none"/>
              </w:rPr>
            </w:pPr>
            <w:r>
              <w:rPr>
                <w:rFonts w:hint="eastAsia" w:ascii="仿宋" w:hAnsi="仿宋" w:eastAsia="仿宋" w:cs="仿宋"/>
                <w:color w:val="000000" w:themeColor="text1"/>
                <w:szCs w:val="21"/>
                <w:highlight w:val="none"/>
              </w:rPr>
              <w:t>售后服务方案充分考虑实际需求，售后能力及服务响应及时，技术人员力量多少相比较而评分，优得</w:t>
            </w:r>
            <w:r>
              <w:rPr>
                <w:rFonts w:hint="eastAsia" w:ascii="仿宋" w:hAnsi="仿宋" w:eastAsia="仿宋" w:cs="仿宋"/>
                <w:color w:val="000000" w:themeColor="text1"/>
                <w:szCs w:val="21"/>
                <w:highlight w:val="none"/>
                <w:lang w:val="en-US" w:eastAsia="zh-CN"/>
              </w:rPr>
              <w:t>9-</w:t>
            </w:r>
            <w:r>
              <w:rPr>
                <w:rFonts w:hint="eastAsia" w:ascii="仿宋" w:hAnsi="仿宋" w:eastAsia="仿宋" w:cs="仿宋"/>
                <w:color w:val="000000" w:themeColor="text1"/>
                <w:szCs w:val="21"/>
                <w:highlight w:val="none"/>
              </w:rPr>
              <w:t>10分，良得</w:t>
            </w:r>
            <w:r>
              <w:rPr>
                <w:rFonts w:hint="eastAsia" w:ascii="仿宋" w:hAnsi="仿宋" w:eastAsia="仿宋" w:cs="仿宋"/>
                <w:color w:val="000000" w:themeColor="text1"/>
                <w:szCs w:val="21"/>
                <w:highlight w:val="none"/>
                <w:lang w:val="en-US" w:eastAsia="zh-CN"/>
              </w:rPr>
              <w:t>6</w:t>
            </w: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val="en-US" w:eastAsia="zh-CN"/>
              </w:rPr>
              <w:t>8</w:t>
            </w:r>
            <w:r>
              <w:rPr>
                <w:rFonts w:hint="eastAsia" w:ascii="仿宋" w:hAnsi="仿宋" w:eastAsia="仿宋" w:cs="仿宋"/>
                <w:color w:val="000000" w:themeColor="text1"/>
                <w:szCs w:val="21"/>
                <w:highlight w:val="none"/>
              </w:rPr>
              <w:t>分，中得</w:t>
            </w:r>
            <w:r>
              <w:rPr>
                <w:rFonts w:hint="eastAsia" w:ascii="仿宋" w:hAnsi="仿宋" w:eastAsia="仿宋" w:cs="仿宋"/>
                <w:color w:val="000000" w:themeColor="text1"/>
                <w:szCs w:val="21"/>
                <w:highlight w:val="none"/>
                <w:lang w:val="en-US" w:eastAsia="zh-CN"/>
              </w:rPr>
              <w:t>3</w:t>
            </w:r>
            <w:r>
              <w:rPr>
                <w:rFonts w:hint="eastAsia" w:ascii="仿宋" w:hAnsi="仿宋" w:eastAsia="仿宋" w:cs="仿宋"/>
                <w:color w:val="000000" w:themeColor="text1"/>
                <w:szCs w:val="21"/>
                <w:highlight w:val="none"/>
              </w:rPr>
              <w:t>-</w:t>
            </w:r>
            <w:r>
              <w:rPr>
                <w:rFonts w:hint="eastAsia" w:ascii="仿宋" w:hAnsi="仿宋" w:eastAsia="仿宋" w:cs="仿宋"/>
                <w:color w:val="000000" w:themeColor="text1"/>
                <w:szCs w:val="21"/>
                <w:highlight w:val="none"/>
                <w:lang w:val="en-US" w:eastAsia="zh-CN"/>
              </w:rPr>
              <w:t>5</w:t>
            </w:r>
            <w:r>
              <w:rPr>
                <w:rFonts w:hint="eastAsia" w:ascii="仿宋" w:hAnsi="仿宋" w:eastAsia="仿宋" w:cs="仿宋"/>
                <w:color w:val="000000" w:themeColor="text1"/>
                <w:szCs w:val="21"/>
                <w:highlight w:val="none"/>
              </w:rPr>
              <w:t>分，差为</w:t>
            </w:r>
            <w:r>
              <w:rPr>
                <w:rFonts w:hint="eastAsia" w:ascii="仿宋" w:hAnsi="仿宋" w:eastAsia="仿宋" w:cs="仿宋"/>
                <w:color w:val="000000" w:themeColor="text1"/>
                <w:szCs w:val="21"/>
                <w:highlight w:val="none"/>
                <w:lang w:val="en-US" w:eastAsia="zh-CN"/>
              </w:rPr>
              <w:t>1-2</w:t>
            </w:r>
            <w:r>
              <w:rPr>
                <w:rFonts w:hint="eastAsia" w:ascii="仿宋" w:hAnsi="仿宋" w:eastAsia="仿宋" w:cs="仿宋"/>
                <w:color w:val="000000" w:themeColor="text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2" w:hRule="exact"/>
        </w:trPr>
        <w:tc>
          <w:tcPr>
            <w:tcW w:w="9478" w:type="dxa"/>
            <w:gridSpan w:val="4"/>
            <w:tcBorders>
              <w:top w:val="single" w:color="auto" w:sz="4" w:space="0"/>
              <w:left w:val="single" w:color="auto" w:sz="12" w:space="0"/>
              <w:bottom w:val="single" w:color="auto" w:sz="12" w:space="0"/>
              <w:right w:val="single" w:color="auto" w:sz="12" w:space="0"/>
            </w:tcBorders>
            <w:shd w:val="clear" w:color="auto" w:fill="auto"/>
            <w:tcMar>
              <w:left w:w="57" w:type="dxa"/>
              <w:right w:w="57" w:type="dxa"/>
            </w:tcMar>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注：1、磋商小组各评委独立评分，按评审后综合得分由高到低顺序排列，推荐3名成交候选人。得分相同的，按磋商报价由低到高顺序排列，得分且磋商报价相同的，比较技术得分，此技术得分高者排在前。</w:t>
            </w:r>
          </w:p>
          <w:p>
            <w:pPr>
              <w:spacing w:line="320" w:lineRule="exact"/>
              <w:ind w:firstLine="42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2、评委评分超过得分界限或未按照本办法规定时，该评委的该项评分作废，不计入汇总；计算采用插入法，数字均保留二位小数，第三位“四舍五入”；评审过程中，若出现本办法以外的特殊情况时，将暂停评审，有关情况待磋商小组确定后，再行评定。</w:t>
            </w:r>
          </w:p>
        </w:tc>
      </w:tr>
    </w:tbl>
    <w:p>
      <w:pPr>
        <w:spacing w:line="440" w:lineRule="exact"/>
        <w:ind w:firstLine="480" w:firstLineChars="200"/>
        <w:rPr>
          <w:rFonts w:hint="eastAsia" w:ascii="仿宋" w:hAnsi="仿宋" w:eastAsia="仿宋" w:cs="仿宋"/>
          <w:color w:val="000000" w:themeColor="text1"/>
          <w:sz w:val="24"/>
          <w:szCs w:val="24"/>
          <w:highlight w:val="none"/>
        </w:rPr>
      </w:pPr>
      <w:bookmarkStart w:id="104" w:name="_Hlk525725263"/>
      <w:r>
        <w:rPr>
          <w:rFonts w:hint="eastAsia" w:ascii="仿宋" w:hAnsi="仿宋" w:eastAsia="仿宋" w:cs="仿宋"/>
          <w:color w:val="000000" w:themeColor="text1"/>
          <w:sz w:val="24"/>
          <w:szCs w:val="24"/>
          <w:highlight w:val="none"/>
        </w:rPr>
        <w:t>3、政府采购政策</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经资格性和符合性审查之后，对于所有满足招标文件全部实质性要求的投标文件，按照以下规则进行评审价格的确定。</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3.1政策性价格优惠折扣规定</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3.1.1投标人为小型和微型企业、监狱企业、残疾人福利性单位的评标价计算规则：</w:t>
      </w:r>
    </w:p>
    <w:p>
      <w:pPr>
        <w:spacing w:line="440" w:lineRule="exact"/>
        <w:ind w:firstLine="480" w:firstLineChars="200"/>
        <w:rPr>
          <w:rFonts w:hint="eastAsia" w:ascii="仿宋" w:hAnsi="仿宋" w:eastAsia="仿宋" w:cs="仿宋"/>
          <w:color w:val="000000" w:themeColor="text1"/>
          <w:sz w:val="24"/>
          <w:szCs w:val="24"/>
          <w:highlight w:val="none"/>
        </w:rPr>
      </w:pPr>
      <w:bookmarkStart w:id="105" w:name="_Hlk525724241"/>
      <w:r>
        <w:rPr>
          <w:rFonts w:hint="eastAsia" w:ascii="仿宋" w:hAnsi="仿宋" w:eastAsia="仿宋" w:cs="仿宋"/>
          <w:color w:val="000000" w:themeColor="text1"/>
          <w:sz w:val="24"/>
          <w:szCs w:val="24"/>
          <w:highlight w:val="none"/>
        </w:rPr>
        <w:t>3.1.1（1）</w:t>
      </w:r>
      <w:bookmarkEnd w:id="105"/>
      <w:r>
        <w:rPr>
          <w:rFonts w:hint="eastAsia" w:ascii="仿宋" w:hAnsi="仿宋" w:eastAsia="仿宋" w:cs="仿宋"/>
          <w:color w:val="000000" w:themeColor="text1"/>
          <w:sz w:val="24"/>
          <w:szCs w:val="24"/>
          <w:highlight w:val="none"/>
        </w:rPr>
        <w:t>投标人为非联合体投标的情况：</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其评审价=投标报价*（1-6%）；</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3.1.1（2）投标人为联合体投标且联合协议中约定小型、微型企业、监狱企业、残疾人福利性单位的协议合同金额占到联合体协议合同总金额30％以上的情况：</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其评审价=投标报价*（1-2%）；</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3.1.2本项目涉及提供的所有产品进入 “节能产品政府采购清单”（且产品的国家节能产品认证证书在有效期内）的情况：</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其评审价==投标报价*（1-3%）；（不是所有产品的不享受此项优惠）</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3.1.3本项目涉及提供的所有产品进入“环境标志产品政府采购清单”（且产品的中国环境标志产品认证证书在有效期内）的情况：</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其评审价=投标报价*（1-3%）；（不是所有产品的不享受此项优惠）    </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3.2确认为小微企业（含小型、微型企业，下同）投标的，应当同时符合以下条件：</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3.2.1符合国务院有关部门根据企业从业人员、营业收入、资产总额等指标制定的中小企业划型标准（工信部联企业〔2011〕300号）；</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3.2.2提供本企业制造的货物、承担的工程或服务，</w:t>
      </w:r>
      <w:bookmarkStart w:id="106" w:name="OLE_LINK9"/>
      <w:r>
        <w:rPr>
          <w:rFonts w:hint="eastAsia" w:ascii="仿宋" w:hAnsi="仿宋" w:eastAsia="仿宋" w:cs="仿宋"/>
          <w:color w:val="000000" w:themeColor="text1"/>
          <w:sz w:val="24"/>
          <w:szCs w:val="24"/>
          <w:highlight w:val="none"/>
        </w:rPr>
        <w:t>或者提供其他小微企业制造的货物。本项所称货物不包括使用大型企业注册商标的货物。</w:t>
      </w:r>
      <w:bookmarkEnd w:id="106"/>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3.2.3小微企业提供有中型企业制造的货物的，视同为中型企业；小微企业提供有大型企业制造的货物的，视同为大型企业。</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3.2.4投标时须提供“中小企业声明函”和相关证明文件。</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3.3确认为监狱企业投标的，应当同时符合以下条件：</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3.3.1符合（财库[2014]68号）文件规定的监狱企业，提供本企业制造的货物、承担的工程或服务。</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3.3.2投标时须提供由省级以上监狱管理局、戒毒管理局（含新疆生产建设兵团）出具的属于监狱企业的证明文件。</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3.4确认为残疾人福利性单位投标的，应当同时符合以下条件：</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3.4.1符合（财库[2017]141号）文件规定的残疾人福利性单位，提供本单位制造的货物、承担的工程或服务（以下简称产品），或者提供其他残疾人福利性单位制造的货物（不包括使用非残疾人福利性单位注册商标的货物）。</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3.4.2投标时须提供《残疾人福利性单位声明函》，并对声明的真实性负责。</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3.4.3投标人提供的《残疾人福利性单位声明函》与事实不符的，依照《政府采购法》第七十七条第一款的规定追究法律责任。</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3.5对于不享受以上政策性优惠价格调整的，其评审价=按照以上2.3条款修正后的投标总价。</w:t>
      </w:r>
      <w:bookmarkEnd w:id="104"/>
    </w:p>
    <w:p>
      <w:pPr>
        <w:spacing w:line="440" w:lineRule="exact"/>
        <w:jc w:val="left"/>
        <w:outlineLvl w:val="2"/>
        <w:rPr>
          <w:rFonts w:hint="eastAsia" w:ascii="仿宋" w:hAnsi="仿宋" w:eastAsia="仿宋" w:cs="仿宋"/>
          <w:b/>
          <w:color w:val="000000" w:themeColor="text1"/>
          <w:kern w:val="0"/>
          <w:sz w:val="24"/>
          <w:szCs w:val="24"/>
          <w:highlight w:val="none"/>
        </w:rPr>
      </w:pPr>
      <w:bookmarkStart w:id="107" w:name="_Toc12808"/>
      <w:bookmarkStart w:id="108" w:name="_Toc20272"/>
      <w:bookmarkStart w:id="109" w:name="_Toc27393"/>
      <w:r>
        <w:rPr>
          <w:rFonts w:hint="eastAsia" w:ascii="仿宋" w:hAnsi="仿宋" w:eastAsia="仿宋" w:cs="仿宋"/>
          <w:b/>
          <w:color w:val="000000" w:themeColor="text1"/>
          <w:kern w:val="0"/>
          <w:sz w:val="24"/>
          <w:szCs w:val="24"/>
          <w:highlight w:val="none"/>
        </w:rPr>
        <w:t>三、特殊情况的处理</w:t>
      </w:r>
      <w:bookmarkEnd w:id="107"/>
      <w:bookmarkEnd w:id="108"/>
      <w:bookmarkEnd w:id="109"/>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1、磋商响应文件中如果出现计算错误，可按以下原则进行修正：</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（1）磋商响应文件中的大写金额与小写金额不一致的，以大写金额为准；</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（2）磋商响应文件中的总价金额与按单价计算的汇总金额不一致的，以单价计算的汇总金额为准；</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（3）磋商响应文件中的单价金额有明显小数点错误的，以总价为准，并修改单价；</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（4）磋商响应文件中有关分项表内容与报价函不一致的，以“竞争性磋商报价一览表”为准；</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（5）磋商响应文件中图表与文字表述不一致的，以文字表述为准；</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（6）磋商响应文件正本与副本不一致的，以正本为准；</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（7）对不同文字文本磋商响应文件的解释发生异议的，以中文文本为准。</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按上述修正错误的方法调整的磋商报价应对供应商具有约束力。如果供应商不接受修正后的价格，其磋商将被拒绝。</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2、磋商响应文件中，若某项有不合理报价（或零报价、漏报价）的，经磋商小组评审后，此项得分为零，不参与磋商报价分值的计算。</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评委评分超过得分界限或未按照本办法规定时，该评委的该项评分作废，不计入汇总；计算采用插入法，各种数字均保留两位小数，第三位“四舍五入”；评审过程中，若出现本办法以外的特殊情况时，将暂停评审，有关情况待磋商小组确定后，再行评定。</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4、评审结果汇总完成后，除下列情形外，任何人不得修改评审结果：</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（1）分值汇总计算错误的；</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（2）分项评分超出评分标准范围的；</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（3）磋商小组对客观评审因素评分不一致的；</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（4）经磋商小组认定评分畸高、畸低的。</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评审报告签署前，经复核发现存在以上情形之一的，磋商小组应当当场修改评审结果，并在评审报告中记载；评审报告签署后，采购人或者采购代理机构发现存在以上情形之一的，应当组织原磋商小组进行重新评审，重新评审改变成交结果的，书面报本级财政部门认定。</w:t>
      </w:r>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排名第一的候选人，主动放弃成交，或因不可抗力不能履行合同，或被查实存在影响成交结果的违法行为等情形，已不再符合成交条件的，采购人可以按照磋商小组提出的成交候选人名单排序依次确定其他成交候选人为成交供应商，也可以根据实际情况需要，依法重新招标。</w:t>
      </w:r>
    </w:p>
    <w:p>
      <w:pPr>
        <w:spacing w:line="440" w:lineRule="exact"/>
        <w:jc w:val="left"/>
        <w:outlineLvl w:val="2"/>
        <w:rPr>
          <w:rFonts w:hint="eastAsia" w:ascii="仿宋" w:hAnsi="仿宋" w:eastAsia="仿宋" w:cs="仿宋"/>
          <w:b/>
          <w:color w:val="000000" w:themeColor="text1"/>
          <w:kern w:val="0"/>
          <w:sz w:val="24"/>
          <w:szCs w:val="24"/>
          <w:highlight w:val="none"/>
        </w:rPr>
      </w:pPr>
      <w:bookmarkStart w:id="110" w:name="_Toc12126"/>
      <w:bookmarkStart w:id="111" w:name="_Toc11137"/>
      <w:bookmarkStart w:id="112" w:name="_Toc28823"/>
      <w:r>
        <w:rPr>
          <w:rFonts w:hint="eastAsia" w:ascii="仿宋" w:hAnsi="仿宋" w:eastAsia="仿宋" w:cs="仿宋"/>
          <w:b/>
          <w:color w:val="000000" w:themeColor="text1"/>
          <w:kern w:val="0"/>
          <w:sz w:val="24"/>
          <w:szCs w:val="24"/>
          <w:highlight w:val="none"/>
        </w:rPr>
        <w:t>四、与采购人、采购代理机构和磋商小组接触</w:t>
      </w:r>
      <w:bookmarkEnd w:id="110"/>
      <w:bookmarkEnd w:id="111"/>
      <w:bookmarkEnd w:id="112"/>
    </w:p>
    <w:p>
      <w:pPr>
        <w:spacing w:line="44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供应商试图对采购人、采购代理机构和磋商小组的评审、比较或授予合同的决定进行影响，都可能导致其磋商被拒绝。</w:t>
      </w:r>
    </w:p>
    <w:p>
      <w:pPr>
        <w:adjustRightInd w:val="0"/>
        <w:snapToGrid w:val="0"/>
        <w:spacing w:line="440" w:lineRule="exact"/>
        <w:jc w:val="center"/>
        <w:outlineLvl w:val="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br w:type="page"/>
      </w:r>
    </w:p>
    <w:p>
      <w:pPr>
        <w:widowControl/>
        <w:autoSpaceDE w:val="0"/>
        <w:autoSpaceDN w:val="0"/>
        <w:spacing w:line="440" w:lineRule="exact"/>
        <w:textAlignment w:val="bottom"/>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附件一：</w:t>
      </w:r>
    </w:p>
    <w:p>
      <w:pPr>
        <w:widowControl/>
        <w:autoSpaceDE w:val="0"/>
        <w:autoSpaceDN w:val="0"/>
        <w:spacing w:line="440" w:lineRule="exact"/>
        <w:jc w:val="center"/>
        <w:textAlignment w:val="bottom"/>
        <w:rPr>
          <w:rFonts w:hint="eastAsia" w:ascii="仿宋" w:hAnsi="仿宋" w:eastAsia="仿宋" w:cs="仿宋"/>
          <w:color w:val="000000" w:themeColor="text1"/>
          <w:sz w:val="24"/>
          <w:szCs w:val="24"/>
          <w:highlight w:val="none"/>
        </w:rPr>
      </w:pPr>
      <w:r>
        <w:rPr>
          <w:rFonts w:hint="eastAsia" w:ascii="仿宋" w:hAnsi="仿宋" w:eastAsia="仿宋" w:cs="仿宋"/>
          <w:b/>
          <w:color w:val="000000" w:themeColor="text1"/>
          <w:sz w:val="24"/>
          <w:szCs w:val="24"/>
          <w:highlight w:val="none"/>
        </w:rPr>
        <w:t>资格性审查内容</w:t>
      </w:r>
    </w:p>
    <w:p>
      <w:pPr>
        <w:rPr>
          <w:rFonts w:hint="eastAsia" w:ascii="仿宋" w:hAnsi="仿宋" w:eastAsia="仿宋" w:cs="仿宋"/>
          <w:color w:val="000000" w:themeColor="text1"/>
          <w:highlight w:val="none"/>
        </w:rPr>
      </w:pPr>
    </w:p>
    <w:tbl>
      <w:tblPr>
        <w:tblStyle w:val="47"/>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916"/>
        <w:gridCol w:w="5943"/>
        <w:gridCol w:w="659"/>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序号</w:t>
            </w:r>
          </w:p>
        </w:tc>
        <w:tc>
          <w:tcPr>
            <w:tcW w:w="6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center"/>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审查因素</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审查</w:t>
            </w:r>
          </w:p>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标准</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center"/>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center"/>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1</w:t>
            </w:r>
          </w:p>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p>
        </w:tc>
        <w:tc>
          <w:tcPr>
            <w:tcW w:w="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供应商应符合的基本资格条件</w:t>
            </w:r>
          </w:p>
        </w:tc>
        <w:tc>
          <w:tcPr>
            <w:tcW w:w="59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具有独立承担民事责任能力的法人、其他组织或自然人，提供营业执照副本/事业单位法人证书副本/非企业专业服务机构执业许可证副本/自然人身份证</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合法有效</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 w:val="20"/>
                <w:highlight w:val="none"/>
              </w:rPr>
            </w:pPr>
          </w:p>
        </w:tc>
        <w:tc>
          <w:tcPr>
            <w:tcW w:w="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 w:val="20"/>
                <w:highlight w:val="none"/>
              </w:rPr>
            </w:pPr>
          </w:p>
        </w:tc>
        <w:tc>
          <w:tcPr>
            <w:tcW w:w="59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法定代表人授权书及被授权人身份证，法定代表人直接投标只需提交其身份证原件</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合法有效</w:t>
            </w:r>
          </w:p>
        </w:tc>
        <w:tc>
          <w:tcPr>
            <w:tcW w:w="950" w:type="dxa"/>
            <w:tcBorders>
              <w:top w:val="single" w:color="auto" w:sz="4" w:space="0"/>
              <w:left w:val="single" w:color="auto" w:sz="4" w:space="0"/>
              <w:bottom w:val="single" w:color="auto" w:sz="4" w:space="0"/>
              <w:right w:val="single" w:color="auto" w:sz="4" w:space="0"/>
            </w:tcBorders>
            <w:shd w:val="clear" w:color="auto" w:fill="auto"/>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 w:val="20"/>
                <w:highlight w:val="none"/>
              </w:rPr>
            </w:pPr>
          </w:p>
        </w:tc>
        <w:tc>
          <w:tcPr>
            <w:tcW w:w="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 w:val="20"/>
                <w:highlight w:val="none"/>
              </w:rPr>
            </w:pPr>
          </w:p>
        </w:tc>
        <w:tc>
          <w:tcPr>
            <w:tcW w:w="5943" w:type="dxa"/>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提供2018年度的财务审计报告（至少包括资产负债表和利润表，成立时间至提交投标文件截止时间不足一年的可提供成立后任意时段的资产负债表），或其基本存款账户开户银行出具的资信证明及基本存款账户开户许可证</w:t>
            </w:r>
            <w:r>
              <w:rPr>
                <w:rFonts w:hint="eastAsia" w:ascii="仿宋" w:hAnsi="仿宋" w:eastAsia="仿宋" w:cs="仿宋"/>
                <w:color w:val="000000" w:themeColor="text1"/>
                <w:szCs w:val="21"/>
                <w:highlight w:val="none"/>
                <w:lang w:eastAsia="zh-CN"/>
              </w:rPr>
              <w:t>（新成立公司，可不提供）</w:t>
            </w:r>
            <w:r>
              <w:rPr>
                <w:rFonts w:hint="eastAsia" w:ascii="仿宋" w:hAnsi="仿宋" w:eastAsia="仿宋" w:cs="仿宋"/>
                <w:color w:val="000000" w:themeColor="text1"/>
                <w:szCs w:val="21"/>
                <w:highlight w:val="none"/>
              </w:rPr>
              <w:t>；</w:t>
            </w:r>
            <w:r>
              <w:rPr>
                <w:rFonts w:hint="eastAsia" w:ascii="仿宋" w:hAnsi="仿宋" w:eastAsia="仿宋" w:cs="仿宋"/>
                <w:bCs/>
                <w:color w:val="000000" w:themeColor="text1"/>
                <w:szCs w:val="21"/>
                <w:highlight w:val="none"/>
              </w:rPr>
              <w:t>（</w:t>
            </w:r>
            <w:r>
              <w:rPr>
                <w:rFonts w:hint="eastAsia" w:ascii="仿宋" w:hAnsi="仿宋" w:eastAsia="仿宋" w:cs="仿宋"/>
                <w:color w:val="000000" w:themeColor="text1"/>
                <w:szCs w:val="21"/>
                <w:highlight w:val="none"/>
              </w:rPr>
              <w:t>原件放入资格证明文件中备查</w:t>
            </w:r>
            <w:r>
              <w:rPr>
                <w:rFonts w:hint="eastAsia" w:ascii="仿宋" w:hAnsi="仿宋" w:eastAsia="仿宋" w:cs="仿宋"/>
                <w:bCs/>
                <w:color w:val="000000" w:themeColor="text1"/>
                <w:szCs w:val="21"/>
                <w:highlight w:val="none"/>
              </w:rPr>
              <w:t>）</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合法有效</w:t>
            </w:r>
          </w:p>
        </w:tc>
        <w:tc>
          <w:tcPr>
            <w:tcW w:w="950" w:type="dxa"/>
            <w:tcBorders>
              <w:top w:val="single" w:color="auto" w:sz="4" w:space="0"/>
              <w:left w:val="single" w:color="auto" w:sz="4" w:space="0"/>
              <w:bottom w:val="single" w:color="auto" w:sz="4" w:space="0"/>
              <w:right w:val="single" w:color="auto" w:sz="4" w:space="0"/>
            </w:tcBorders>
            <w:shd w:val="clear" w:color="auto" w:fill="auto"/>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 w:val="20"/>
                <w:highlight w:val="none"/>
              </w:rPr>
            </w:pPr>
          </w:p>
        </w:tc>
        <w:tc>
          <w:tcPr>
            <w:tcW w:w="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 w:val="20"/>
                <w:highlight w:val="none"/>
              </w:rPr>
            </w:pPr>
          </w:p>
        </w:tc>
        <w:tc>
          <w:tcPr>
            <w:tcW w:w="59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提供</w:t>
            </w:r>
            <w:r>
              <w:rPr>
                <w:rFonts w:hint="eastAsia" w:ascii="仿宋" w:hAnsi="仿宋" w:eastAsia="仿宋" w:cs="仿宋"/>
                <w:color w:val="000000" w:themeColor="text1"/>
                <w:szCs w:val="21"/>
                <w:highlight w:val="none"/>
              </w:rPr>
              <w:t>提供2019年1月1日至今任意一个月的纳税证明或完税证明，依法免税的单位应提供相关证明材料</w:t>
            </w:r>
            <w:r>
              <w:rPr>
                <w:rFonts w:hint="eastAsia" w:ascii="仿宋" w:hAnsi="仿宋" w:eastAsia="仿宋" w:cs="仿宋"/>
                <w:bCs/>
                <w:color w:val="000000" w:themeColor="text1"/>
                <w:szCs w:val="21"/>
                <w:highlight w:val="none"/>
              </w:rPr>
              <w:t>（</w:t>
            </w:r>
            <w:r>
              <w:rPr>
                <w:rFonts w:hint="eastAsia" w:ascii="仿宋" w:hAnsi="仿宋" w:eastAsia="仿宋" w:cs="仿宋"/>
                <w:color w:val="000000" w:themeColor="text1"/>
                <w:szCs w:val="21"/>
                <w:highlight w:val="none"/>
              </w:rPr>
              <w:t>原件放入资格证明文件中备查</w:t>
            </w:r>
            <w:r>
              <w:rPr>
                <w:rFonts w:hint="eastAsia" w:ascii="仿宋" w:hAnsi="仿宋" w:eastAsia="仿宋" w:cs="仿宋"/>
                <w:bCs/>
                <w:color w:val="000000" w:themeColor="text1"/>
                <w:szCs w:val="21"/>
                <w:highlight w:val="none"/>
              </w:rPr>
              <w:t>）</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合法有效</w:t>
            </w:r>
          </w:p>
        </w:tc>
        <w:tc>
          <w:tcPr>
            <w:tcW w:w="950" w:type="dxa"/>
            <w:tcBorders>
              <w:top w:val="single" w:color="auto" w:sz="4" w:space="0"/>
              <w:left w:val="single" w:color="auto" w:sz="4" w:space="0"/>
              <w:bottom w:val="single" w:color="auto" w:sz="4" w:space="0"/>
              <w:right w:val="single" w:color="auto" w:sz="4" w:space="0"/>
            </w:tcBorders>
            <w:shd w:val="clear" w:color="auto" w:fill="auto"/>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 w:val="20"/>
                <w:highlight w:val="none"/>
              </w:rPr>
            </w:pPr>
          </w:p>
        </w:tc>
        <w:tc>
          <w:tcPr>
            <w:tcW w:w="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 w:val="20"/>
                <w:highlight w:val="none"/>
              </w:rPr>
            </w:pPr>
          </w:p>
        </w:tc>
        <w:tc>
          <w:tcPr>
            <w:tcW w:w="59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社会保障资金缴纳证明：提供2019年1月1日至今任意一个月的社会保障资金缴存单据或社保机构开具的社会保险参保缴费情况证明，依法不需要缴纳社会保障资金的单位应提供相关证明材料；（</w:t>
            </w:r>
            <w:r>
              <w:rPr>
                <w:rFonts w:hint="eastAsia" w:ascii="仿宋" w:hAnsi="仿宋" w:eastAsia="仿宋" w:cs="仿宋"/>
                <w:color w:val="000000" w:themeColor="text1"/>
                <w:szCs w:val="21"/>
                <w:highlight w:val="none"/>
              </w:rPr>
              <w:t>原件放入资格证明文件中备查</w:t>
            </w:r>
            <w:r>
              <w:rPr>
                <w:rFonts w:hint="eastAsia" w:ascii="仿宋" w:hAnsi="仿宋" w:eastAsia="仿宋" w:cs="仿宋"/>
                <w:bCs/>
                <w:color w:val="000000" w:themeColor="text1"/>
                <w:szCs w:val="21"/>
                <w:highlight w:val="none"/>
              </w:rPr>
              <w:t>）</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合法有效</w:t>
            </w:r>
          </w:p>
        </w:tc>
        <w:tc>
          <w:tcPr>
            <w:tcW w:w="950" w:type="dxa"/>
            <w:tcBorders>
              <w:top w:val="single" w:color="auto" w:sz="4" w:space="0"/>
              <w:left w:val="single" w:color="auto" w:sz="4" w:space="0"/>
              <w:bottom w:val="single" w:color="auto" w:sz="4" w:space="0"/>
              <w:right w:val="single" w:color="auto" w:sz="4" w:space="0"/>
            </w:tcBorders>
            <w:shd w:val="clear" w:color="auto" w:fill="auto"/>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center"/>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2</w:t>
            </w:r>
          </w:p>
        </w:tc>
        <w:tc>
          <w:tcPr>
            <w:tcW w:w="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 w:hAnsi="仿宋" w:eastAsia="仿宋" w:cs="仿宋"/>
                <w:color w:val="000000" w:themeColor="text1"/>
                <w:sz w:val="20"/>
                <w:highlight w:val="none"/>
              </w:rPr>
            </w:pPr>
          </w:p>
        </w:tc>
        <w:tc>
          <w:tcPr>
            <w:tcW w:w="59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供应商应在投标截止日前未被列入失信被执行人、重大税收违法案件当事人名单、政府采购严重违法失信行为记录名单(处罚期限届满的除外)(以“信用中国” 网站(www. creditchina. gov. cn)或中国政府采购网(www. ccgp. gov. cn)查询结果为准，提供网站截图(查询日期为从招标文件发售之日起至投标截止日前)并加盖供应商公章;同时供应商应出具参加政府采购活动前3年内在经营活动中没有重大违法记录的书面声明；</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合法有效</w:t>
            </w:r>
          </w:p>
        </w:tc>
        <w:tc>
          <w:tcPr>
            <w:tcW w:w="950" w:type="dxa"/>
            <w:tcBorders>
              <w:top w:val="single" w:color="auto" w:sz="4" w:space="0"/>
              <w:left w:val="single" w:color="auto" w:sz="4" w:space="0"/>
              <w:bottom w:val="single" w:color="auto" w:sz="4" w:space="0"/>
              <w:right w:val="single" w:color="auto" w:sz="4" w:space="0"/>
            </w:tcBorders>
            <w:shd w:val="clear" w:color="auto" w:fill="auto"/>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740" w:type="dxa"/>
            <w:tcBorders>
              <w:top w:val="single" w:color="auto" w:sz="4" w:space="0"/>
              <w:left w:val="single" w:color="auto" w:sz="4" w:space="0"/>
              <w:right w:val="single" w:color="auto" w:sz="4" w:space="0"/>
            </w:tcBorders>
            <w:shd w:val="clear" w:color="auto" w:fill="auto"/>
            <w:vAlign w:val="center"/>
          </w:tcPr>
          <w:p>
            <w:pPr>
              <w:pStyle w:val="310"/>
              <w:widowControl/>
              <w:spacing w:line="320" w:lineRule="exact"/>
              <w:ind w:firstLine="0"/>
              <w:jc w:val="center"/>
              <w:rPr>
                <w:rFonts w:hint="eastAsia" w:ascii="仿宋" w:hAnsi="仿宋" w:eastAsia="仿宋" w:cs="仿宋"/>
                <w:color w:val="000000" w:themeColor="text1"/>
                <w:kern w:val="2"/>
                <w:sz w:val="21"/>
                <w:szCs w:val="21"/>
                <w:highlight w:val="none"/>
              </w:rPr>
            </w:pPr>
          </w:p>
          <w:p>
            <w:pPr>
              <w:pStyle w:val="310"/>
              <w:widowControl/>
              <w:spacing w:line="320" w:lineRule="exact"/>
              <w:ind w:firstLine="0"/>
              <w:jc w:val="center"/>
              <w:rPr>
                <w:rFonts w:hint="eastAsia" w:ascii="仿宋" w:hAnsi="仿宋" w:eastAsia="仿宋" w:cs="仿宋"/>
                <w:color w:val="000000" w:themeColor="text1"/>
                <w:kern w:val="2"/>
                <w:sz w:val="21"/>
                <w:szCs w:val="21"/>
                <w:highlight w:val="none"/>
              </w:rPr>
            </w:pPr>
          </w:p>
          <w:p>
            <w:pPr>
              <w:pStyle w:val="310"/>
              <w:widowControl/>
              <w:spacing w:line="320" w:lineRule="exact"/>
              <w:ind w:firstLine="0"/>
              <w:jc w:val="center"/>
              <w:rPr>
                <w:rFonts w:hint="eastAsia" w:ascii="仿宋" w:hAnsi="仿宋" w:eastAsia="仿宋" w:cs="仿宋"/>
                <w:color w:val="000000" w:themeColor="text1"/>
                <w:kern w:val="2"/>
                <w:sz w:val="21"/>
                <w:szCs w:val="21"/>
                <w:highlight w:val="none"/>
                <w:lang w:eastAsia="zh-CN"/>
              </w:rPr>
            </w:pPr>
            <w:r>
              <w:rPr>
                <w:rFonts w:hint="eastAsia" w:ascii="仿宋" w:hAnsi="仿宋" w:eastAsia="仿宋" w:cs="仿宋"/>
                <w:color w:val="000000" w:themeColor="text1"/>
                <w:kern w:val="2"/>
                <w:sz w:val="21"/>
                <w:szCs w:val="21"/>
                <w:highlight w:val="none"/>
                <w:lang w:val="en-US" w:eastAsia="zh-CN"/>
              </w:rPr>
              <w:t>3</w:t>
            </w:r>
          </w:p>
        </w:tc>
        <w:tc>
          <w:tcPr>
            <w:tcW w:w="916" w:type="dxa"/>
            <w:tcBorders>
              <w:top w:val="single" w:color="auto" w:sz="4" w:space="0"/>
              <w:left w:val="single" w:color="auto" w:sz="4" w:space="0"/>
              <w:right w:val="single" w:color="auto" w:sz="4" w:space="0"/>
            </w:tcBorders>
            <w:shd w:val="clear" w:color="auto" w:fill="auto"/>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供应商应符合的特定资格条件</w:t>
            </w:r>
          </w:p>
        </w:tc>
        <w:tc>
          <w:tcPr>
            <w:tcW w:w="5943" w:type="dxa"/>
            <w:tcBorders>
              <w:top w:val="single" w:color="auto" w:sz="4" w:space="0"/>
              <w:left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足额磋商保证金</w:t>
            </w:r>
          </w:p>
        </w:tc>
        <w:tc>
          <w:tcPr>
            <w:tcW w:w="659" w:type="dxa"/>
            <w:tcBorders>
              <w:top w:val="single" w:color="auto" w:sz="4" w:space="0"/>
              <w:left w:val="single" w:color="auto" w:sz="4" w:space="0"/>
              <w:right w:val="single" w:color="auto" w:sz="4" w:space="0"/>
            </w:tcBorders>
            <w:shd w:val="clear" w:color="auto" w:fill="auto"/>
            <w:vAlign w:val="center"/>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有效</w:t>
            </w:r>
          </w:p>
        </w:tc>
        <w:tc>
          <w:tcPr>
            <w:tcW w:w="950" w:type="dxa"/>
            <w:tcBorders>
              <w:top w:val="single" w:color="auto" w:sz="4" w:space="0"/>
              <w:left w:val="single" w:color="auto" w:sz="4" w:space="0"/>
              <w:bottom w:val="single" w:color="auto" w:sz="4" w:space="0"/>
              <w:right w:val="single" w:color="auto" w:sz="4" w:space="0"/>
            </w:tcBorders>
            <w:shd w:val="clear" w:color="auto" w:fill="auto"/>
          </w:tcPr>
          <w:p>
            <w:pPr>
              <w:pStyle w:val="310"/>
              <w:widowControl/>
              <w:spacing w:line="320" w:lineRule="exact"/>
              <w:ind w:firstLine="0"/>
              <w:jc w:val="left"/>
              <w:rPr>
                <w:rFonts w:hint="eastAsia" w:ascii="仿宋" w:hAnsi="仿宋" w:eastAsia="仿宋" w:cs="仿宋"/>
                <w:color w:val="000000" w:themeColor="text1"/>
                <w:kern w:val="2"/>
                <w:sz w:val="21"/>
                <w:szCs w:val="21"/>
                <w:highlight w:val="none"/>
              </w:rPr>
            </w:pPr>
          </w:p>
        </w:tc>
      </w:tr>
    </w:tbl>
    <w:p>
      <w:pPr>
        <w:pStyle w:val="310"/>
        <w:widowControl/>
        <w:spacing w:line="360" w:lineRule="auto"/>
        <w:ind w:firstLine="0"/>
        <w:jc w:val="lef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kern w:val="2"/>
          <w:sz w:val="21"/>
          <w:szCs w:val="21"/>
          <w:highlight w:val="none"/>
        </w:rPr>
        <w:t>说明：基本条件和特定条件（1）至（4）项是供应商必备的资格条件，有1项不合格，资格审查为不合格，将不具备投标资格。</w:t>
      </w:r>
    </w:p>
    <w:p>
      <w:pPr>
        <w:widowControl/>
        <w:autoSpaceDE w:val="0"/>
        <w:autoSpaceDN w:val="0"/>
        <w:spacing w:line="440" w:lineRule="exact"/>
        <w:ind w:right="51"/>
        <w:jc w:val="left"/>
        <w:textAlignment w:val="bottom"/>
        <w:rPr>
          <w:rFonts w:hint="eastAsia" w:ascii="仿宋" w:hAnsi="仿宋" w:eastAsia="仿宋" w:cs="仿宋"/>
          <w:b/>
          <w:color w:val="000000" w:themeColor="text1"/>
          <w:sz w:val="24"/>
          <w:szCs w:val="24"/>
          <w:highlight w:val="none"/>
        </w:rPr>
      </w:pPr>
    </w:p>
    <w:p>
      <w:pPr>
        <w:widowControl/>
        <w:autoSpaceDE w:val="0"/>
        <w:autoSpaceDN w:val="0"/>
        <w:spacing w:line="440" w:lineRule="exact"/>
        <w:ind w:right="51"/>
        <w:jc w:val="left"/>
        <w:textAlignment w:val="bottom"/>
        <w:rPr>
          <w:rFonts w:hint="eastAsia" w:ascii="仿宋" w:hAnsi="仿宋" w:eastAsia="仿宋" w:cs="仿宋"/>
          <w:b/>
          <w:color w:val="000000" w:themeColor="text1"/>
          <w:sz w:val="24"/>
          <w:szCs w:val="24"/>
          <w:highlight w:val="none"/>
        </w:rPr>
      </w:pPr>
    </w:p>
    <w:p>
      <w:pPr>
        <w:widowControl/>
        <w:autoSpaceDE w:val="0"/>
        <w:autoSpaceDN w:val="0"/>
        <w:spacing w:line="440" w:lineRule="exact"/>
        <w:ind w:right="51"/>
        <w:jc w:val="left"/>
        <w:textAlignment w:val="bottom"/>
        <w:rPr>
          <w:rFonts w:hint="eastAsia" w:ascii="仿宋" w:hAnsi="仿宋" w:eastAsia="仿宋" w:cs="仿宋"/>
          <w:b/>
          <w:color w:val="000000" w:themeColor="text1"/>
          <w:sz w:val="24"/>
          <w:szCs w:val="24"/>
          <w:highlight w:val="none"/>
        </w:rPr>
      </w:pPr>
    </w:p>
    <w:p>
      <w:pPr>
        <w:widowControl/>
        <w:autoSpaceDE w:val="0"/>
        <w:autoSpaceDN w:val="0"/>
        <w:spacing w:line="440" w:lineRule="exact"/>
        <w:ind w:right="51"/>
        <w:jc w:val="left"/>
        <w:textAlignment w:val="bottom"/>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附件二：</w:t>
      </w:r>
    </w:p>
    <w:p>
      <w:pPr>
        <w:widowControl/>
        <w:autoSpaceDE w:val="0"/>
        <w:autoSpaceDN w:val="0"/>
        <w:spacing w:line="440" w:lineRule="exact"/>
        <w:ind w:right="51"/>
        <w:jc w:val="center"/>
        <w:textAlignment w:val="bottom"/>
        <w:rPr>
          <w:rFonts w:hint="eastAsia" w:ascii="仿宋" w:hAnsi="仿宋" w:eastAsia="仿宋" w:cs="仿宋"/>
          <w:color w:val="000000" w:themeColor="text1"/>
          <w:sz w:val="24"/>
          <w:szCs w:val="24"/>
          <w:highlight w:val="none"/>
        </w:rPr>
      </w:pPr>
      <w:r>
        <w:rPr>
          <w:rFonts w:hint="eastAsia" w:ascii="仿宋" w:hAnsi="仿宋" w:eastAsia="仿宋" w:cs="仿宋"/>
          <w:b/>
          <w:color w:val="000000" w:themeColor="text1"/>
          <w:sz w:val="24"/>
          <w:szCs w:val="24"/>
          <w:highlight w:val="none"/>
        </w:rPr>
        <w:t>符合性审查内容</w:t>
      </w:r>
    </w:p>
    <w:tbl>
      <w:tblPr>
        <w:tblStyle w:val="47"/>
        <w:tblW w:w="8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849"/>
        <w:gridCol w:w="3247"/>
        <w:gridCol w:w="3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序号</w:t>
            </w:r>
          </w:p>
        </w:tc>
        <w:tc>
          <w:tcPr>
            <w:tcW w:w="40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center"/>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评审因素</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630" w:firstLineChars="300"/>
              <w:jc w:val="center"/>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1</w:t>
            </w:r>
          </w:p>
        </w:tc>
        <w:tc>
          <w:tcPr>
            <w:tcW w:w="8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有效性审查</w:t>
            </w: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（1）招标文件的签署盖章</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招标文件上法定代表人或其授权代表人的签字齐全并加盖公章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（2）招标文件格式</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应符合“招标文件格式”要求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（3）招标文件递交</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（4）报价唯一</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只能有一个有效报价，不得提交选择性报价，且报价不超过采购预算。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2</w:t>
            </w:r>
          </w:p>
        </w:tc>
        <w:tc>
          <w:tcPr>
            <w:tcW w:w="8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完整性审查</w:t>
            </w: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（5）招标文件密封和标记</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（6）招标文件份数</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应符合“供应商须知”规定的正本、副本、电子文件数量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（7）招标文件内容</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磋商文件内容齐全、无遗漏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3</w:t>
            </w:r>
          </w:p>
        </w:tc>
        <w:tc>
          <w:tcPr>
            <w:tcW w:w="8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磋商响应文件的响应程度审查</w:t>
            </w: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（8）对招标文件响应程度</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（9）拟提供内容要求（技术参数）</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应满足招标文件提出的技术和功能要求，不允许实质性偏离。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（10）服务期</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应满足招标文件中要求的时间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（11）投标保证金</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应满足招标文件中的规定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000000" w:themeColor="text1"/>
                <w:sz w:val="20"/>
                <w:highlight w:val="none"/>
              </w:rPr>
            </w:pPr>
          </w:p>
        </w:tc>
        <w:tc>
          <w:tcPr>
            <w:tcW w:w="3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（12）投标有效期</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0"/>
              <w:widowControl/>
              <w:ind w:firstLine="0"/>
              <w:jc w:val="left"/>
              <w:rPr>
                <w:rFonts w:hint="eastAsia" w:ascii="仿宋" w:hAnsi="仿宋" w:eastAsia="仿宋" w:cs="仿宋"/>
                <w:color w:val="000000" w:themeColor="text1"/>
                <w:kern w:val="2"/>
                <w:sz w:val="21"/>
                <w:szCs w:val="21"/>
                <w:highlight w:val="none"/>
              </w:rPr>
            </w:pPr>
            <w:r>
              <w:rPr>
                <w:rFonts w:hint="eastAsia" w:ascii="仿宋" w:hAnsi="仿宋" w:eastAsia="仿宋" w:cs="仿宋"/>
                <w:color w:val="000000" w:themeColor="text1"/>
                <w:kern w:val="2"/>
                <w:sz w:val="21"/>
                <w:szCs w:val="21"/>
                <w:highlight w:val="none"/>
              </w:rPr>
              <w:t>应满足招标文件中的规定</w:t>
            </w:r>
          </w:p>
        </w:tc>
      </w:tr>
    </w:tbl>
    <w:p>
      <w:pPr>
        <w:adjustRightInd w:val="0"/>
        <w:snapToGrid w:val="0"/>
        <w:spacing w:line="440" w:lineRule="exact"/>
        <w:jc w:val="center"/>
        <w:outlineLvl w:val="0"/>
        <w:rPr>
          <w:rFonts w:hint="eastAsia" w:ascii="仿宋" w:hAnsi="仿宋" w:eastAsia="仿宋" w:cs="仿宋"/>
          <w:color w:val="000000" w:themeColor="text1"/>
          <w:highlight w:val="none"/>
        </w:rPr>
      </w:pPr>
    </w:p>
    <w:p>
      <w:pPr>
        <w:adjustRightInd w:val="0"/>
        <w:snapToGrid w:val="0"/>
        <w:spacing w:line="440" w:lineRule="exact"/>
        <w:jc w:val="center"/>
        <w:outlineLvl w:val="0"/>
        <w:rPr>
          <w:rFonts w:hint="eastAsia" w:ascii="仿宋" w:hAnsi="仿宋" w:eastAsia="仿宋" w:cs="仿宋"/>
          <w:color w:val="000000" w:themeColor="text1"/>
          <w:highlight w:val="none"/>
        </w:rPr>
      </w:pPr>
    </w:p>
    <w:p>
      <w:pPr>
        <w:adjustRightInd w:val="0"/>
        <w:snapToGrid w:val="0"/>
        <w:spacing w:line="440" w:lineRule="exact"/>
        <w:jc w:val="center"/>
        <w:outlineLvl w:val="0"/>
        <w:rPr>
          <w:rFonts w:hint="eastAsia" w:ascii="仿宋" w:hAnsi="仿宋" w:eastAsia="仿宋" w:cs="仿宋"/>
          <w:color w:val="000000" w:themeColor="text1"/>
          <w:highlight w:val="none"/>
        </w:rPr>
      </w:pPr>
    </w:p>
    <w:p>
      <w:pPr>
        <w:adjustRightInd w:val="0"/>
        <w:snapToGrid w:val="0"/>
        <w:spacing w:line="440" w:lineRule="exact"/>
        <w:jc w:val="center"/>
        <w:outlineLvl w:val="0"/>
        <w:rPr>
          <w:rFonts w:hint="eastAsia" w:ascii="仿宋" w:hAnsi="仿宋" w:eastAsia="仿宋" w:cs="仿宋"/>
          <w:color w:val="000000" w:themeColor="text1"/>
          <w:highlight w:val="none"/>
        </w:rPr>
      </w:pPr>
    </w:p>
    <w:p>
      <w:pPr>
        <w:adjustRightInd w:val="0"/>
        <w:snapToGrid w:val="0"/>
        <w:spacing w:line="440" w:lineRule="exact"/>
        <w:jc w:val="center"/>
        <w:outlineLvl w:val="0"/>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szCs w:val="28"/>
          <w:highlight w:val="none"/>
        </w:rPr>
      </w:pPr>
    </w:p>
    <w:p>
      <w:pPr>
        <w:rPr>
          <w:rFonts w:hint="eastAsia" w:ascii="仿宋" w:hAnsi="仿宋" w:eastAsia="仿宋" w:cs="仿宋"/>
          <w:b/>
          <w:color w:val="000000" w:themeColor="text1"/>
          <w:sz w:val="28"/>
          <w:szCs w:val="28"/>
          <w:highlight w:val="none"/>
        </w:rPr>
      </w:pPr>
    </w:p>
    <w:bookmarkEnd w:id="11"/>
    <w:bookmarkEnd w:id="12"/>
    <w:bookmarkEnd w:id="13"/>
    <w:bookmarkEnd w:id="14"/>
    <w:bookmarkEnd w:id="15"/>
    <w:bookmarkEnd w:id="16"/>
    <w:bookmarkEnd w:id="17"/>
    <w:p>
      <w:pPr>
        <w:jc w:val="center"/>
        <w:outlineLvl w:val="0"/>
        <w:rPr>
          <w:rFonts w:hint="eastAsia" w:ascii="仿宋" w:hAnsi="仿宋" w:eastAsia="仿宋" w:cs="仿宋"/>
          <w:b/>
          <w:color w:val="000000" w:themeColor="text1"/>
          <w:sz w:val="30"/>
          <w:szCs w:val="30"/>
          <w:highlight w:val="none"/>
        </w:rPr>
      </w:pPr>
      <w:bookmarkStart w:id="113" w:name="_Toc32314"/>
      <w:bookmarkStart w:id="114" w:name="_Toc246928960"/>
      <w:bookmarkStart w:id="115" w:name="_Toc497551821"/>
      <w:bookmarkStart w:id="116" w:name="_Toc389620242"/>
      <w:bookmarkStart w:id="117" w:name="_Toc385992402"/>
      <w:bookmarkStart w:id="118" w:name="_Toc492955460"/>
      <w:bookmarkStart w:id="119" w:name="_Toc497712134"/>
      <w:bookmarkStart w:id="120" w:name="_Toc497711586"/>
      <w:bookmarkStart w:id="121" w:name="_Toc497546919"/>
      <w:r>
        <w:rPr>
          <w:rFonts w:hint="eastAsia" w:ascii="仿宋" w:hAnsi="仿宋" w:eastAsia="仿宋" w:cs="仿宋"/>
          <w:b/>
          <w:color w:val="000000" w:themeColor="text1"/>
          <w:sz w:val="30"/>
          <w:szCs w:val="30"/>
          <w:highlight w:val="none"/>
        </w:rPr>
        <w:t>第五部分  采购需求</w:t>
      </w:r>
      <w:bookmarkEnd w:id="113"/>
    </w:p>
    <w:p>
      <w:pPr>
        <w:pStyle w:val="6"/>
        <w:rPr>
          <w:rFonts w:hint="eastAsia" w:ascii="仿宋" w:hAnsi="仿宋" w:eastAsia="仿宋" w:cs="仿宋"/>
          <w:color w:val="000000" w:themeColor="text1"/>
          <w:highlight w:val="none"/>
        </w:rPr>
      </w:pPr>
    </w:p>
    <w:p>
      <w:pPr>
        <w:pStyle w:val="314"/>
        <w:keepNext w:val="0"/>
        <w:keepLines w:val="0"/>
        <w:pageBreakBefore w:val="0"/>
        <w:kinsoku/>
        <w:wordWrap/>
        <w:overflowPunct/>
        <w:topLinePunct w:val="0"/>
        <w:autoSpaceDE/>
        <w:autoSpaceDN/>
        <w:bidi w:val="0"/>
        <w:spacing w:line="360" w:lineRule="auto"/>
        <w:rPr>
          <w:rFonts w:hint="eastAsia" w:ascii="仿宋" w:hAnsi="仿宋" w:eastAsia="仿宋" w:cs="仿宋"/>
          <w:sz w:val="24"/>
          <w:szCs w:val="18"/>
        </w:rPr>
      </w:pPr>
      <w:r>
        <w:rPr>
          <w:rFonts w:hint="eastAsia" w:ascii="仿宋" w:hAnsi="仿宋" w:eastAsia="仿宋" w:cs="仿宋"/>
          <w:sz w:val="24"/>
          <w:szCs w:val="18"/>
        </w:rPr>
        <w:t>建立针对非法入侵低空飞行物预警防御系统，通过无源雷达探测感知设备和光电跟踪设备，实现对设定区域内低空飞行物目标的发现跟踪、分析识别，并通过便携式电磁干扰手段，实现对危险目标的驱离、迫降。</w:t>
      </w:r>
    </w:p>
    <w:p>
      <w:pPr>
        <w:pStyle w:val="314"/>
        <w:keepNext w:val="0"/>
        <w:keepLines w:val="0"/>
        <w:pageBreakBefore w:val="0"/>
        <w:widowControl/>
        <w:numPr>
          <w:ilvl w:val="0"/>
          <w:numId w:val="16"/>
        </w:numPr>
        <w:kinsoku/>
        <w:wordWrap/>
        <w:overflowPunct/>
        <w:topLinePunct w:val="0"/>
        <w:autoSpaceDE/>
        <w:autoSpaceDN/>
        <w:bidi w:val="0"/>
        <w:snapToGrid/>
        <w:spacing w:line="360" w:lineRule="auto"/>
        <w:ind w:firstLineChars="0"/>
        <w:rPr>
          <w:rFonts w:hint="eastAsia" w:ascii="仿宋" w:hAnsi="仿宋" w:eastAsia="仿宋" w:cs="仿宋"/>
          <w:b/>
          <w:bCs/>
          <w:sz w:val="24"/>
          <w:szCs w:val="18"/>
        </w:rPr>
      </w:pPr>
      <w:r>
        <w:rPr>
          <w:rFonts w:hint="eastAsia" w:ascii="仿宋" w:hAnsi="仿宋" w:eastAsia="仿宋" w:cs="仿宋"/>
          <w:b/>
          <w:bCs/>
          <w:sz w:val="24"/>
          <w:szCs w:val="18"/>
        </w:rPr>
        <w:t>总体要求：</w:t>
      </w:r>
    </w:p>
    <w:p>
      <w:pPr>
        <w:pStyle w:val="314"/>
        <w:keepNext w:val="0"/>
        <w:keepLines w:val="0"/>
        <w:pageBreakBefore w:val="0"/>
        <w:widowControl/>
        <w:numPr>
          <w:ilvl w:val="0"/>
          <w:numId w:val="17"/>
        </w:numPr>
        <w:tabs>
          <w:tab w:val="left" w:pos="900"/>
        </w:tabs>
        <w:kinsoku/>
        <w:wordWrap/>
        <w:overflowPunct/>
        <w:topLinePunct w:val="0"/>
        <w:autoSpaceDE/>
        <w:autoSpaceDN/>
        <w:bidi w:val="0"/>
        <w:snapToGrid/>
        <w:spacing w:line="360" w:lineRule="auto"/>
        <w:ind w:firstLine="480"/>
        <w:rPr>
          <w:rFonts w:hint="eastAsia" w:ascii="仿宋" w:hAnsi="仿宋" w:eastAsia="仿宋" w:cs="仿宋"/>
          <w:sz w:val="24"/>
          <w:szCs w:val="24"/>
        </w:rPr>
      </w:pPr>
      <w:r>
        <w:rPr>
          <w:rFonts w:hint="eastAsia" w:ascii="仿宋" w:hAnsi="仿宋" w:eastAsia="仿宋" w:cs="仿宋"/>
          <w:sz w:val="24"/>
          <w:szCs w:val="24"/>
        </w:rPr>
        <w:t>系统应当包括侦测单元、综合指挥控制软件等组成部分；</w:t>
      </w:r>
    </w:p>
    <w:p>
      <w:pPr>
        <w:pStyle w:val="314"/>
        <w:keepNext w:val="0"/>
        <w:keepLines w:val="0"/>
        <w:pageBreakBefore w:val="0"/>
        <w:widowControl/>
        <w:numPr>
          <w:ilvl w:val="0"/>
          <w:numId w:val="17"/>
        </w:numPr>
        <w:tabs>
          <w:tab w:val="left" w:pos="900"/>
        </w:tabs>
        <w:kinsoku/>
        <w:wordWrap/>
        <w:overflowPunct/>
        <w:topLinePunct w:val="0"/>
        <w:autoSpaceDE/>
        <w:autoSpaceDN/>
        <w:bidi w:val="0"/>
        <w:snapToGrid/>
        <w:spacing w:line="360" w:lineRule="auto"/>
        <w:ind w:firstLine="480"/>
        <w:rPr>
          <w:rFonts w:hint="eastAsia" w:ascii="仿宋" w:hAnsi="仿宋" w:eastAsia="仿宋" w:cs="仿宋"/>
          <w:sz w:val="24"/>
          <w:szCs w:val="24"/>
        </w:rPr>
      </w:pPr>
      <w:r>
        <w:rPr>
          <w:rFonts w:hint="eastAsia" w:ascii="仿宋" w:hAnsi="仿宋" w:eastAsia="仿宋" w:cs="仿宋"/>
          <w:sz w:val="24"/>
          <w:szCs w:val="24"/>
        </w:rPr>
        <w:t>系统能够同时预警、跟踪多个方向、多个批次入侵的低空飞行物；</w:t>
      </w:r>
    </w:p>
    <w:p>
      <w:pPr>
        <w:pStyle w:val="314"/>
        <w:keepNext w:val="0"/>
        <w:keepLines w:val="0"/>
        <w:pageBreakBefore w:val="0"/>
        <w:widowControl/>
        <w:numPr>
          <w:ilvl w:val="0"/>
          <w:numId w:val="17"/>
        </w:numPr>
        <w:tabs>
          <w:tab w:val="left" w:pos="900"/>
        </w:tabs>
        <w:kinsoku/>
        <w:wordWrap/>
        <w:overflowPunct/>
        <w:topLinePunct w:val="0"/>
        <w:autoSpaceDE/>
        <w:autoSpaceDN/>
        <w:bidi w:val="0"/>
        <w:snapToGrid/>
        <w:spacing w:line="360" w:lineRule="auto"/>
        <w:ind w:firstLine="480"/>
        <w:rPr>
          <w:rFonts w:hint="eastAsia" w:ascii="仿宋" w:hAnsi="仿宋" w:eastAsia="仿宋" w:cs="仿宋"/>
          <w:sz w:val="24"/>
          <w:szCs w:val="24"/>
        </w:rPr>
      </w:pPr>
      <w:r>
        <w:rPr>
          <w:rFonts w:hint="eastAsia" w:ascii="仿宋" w:hAnsi="仿宋" w:eastAsia="仿宋" w:cs="仿宋"/>
          <w:sz w:val="24"/>
          <w:szCs w:val="24"/>
        </w:rPr>
        <w:t>系统能够识别我方低空飞行物无线电特征，并录入识别库，实现敌我识别。能够自动识别目标，能够对非建库目标进行识别更新识别库，识别库可升级、更新。</w:t>
      </w:r>
    </w:p>
    <w:p>
      <w:pPr>
        <w:pStyle w:val="314"/>
        <w:keepNext w:val="0"/>
        <w:keepLines w:val="0"/>
        <w:pageBreakBefore w:val="0"/>
        <w:widowControl/>
        <w:numPr>
          <w:ilvl w:val="0"/>
          <w:numId w:val="17"/>
        </w:numPr>
        <w:tabs>
          <w:tab w:val="left" w:pos="900"/>
        </w:tabs>
        <w:kinsoku/>
        <w:wordWrap/>
        <w:overflowPunct/>
        <w:topLinePunct w:val="0"/>
        <w:autoSpaceDE/>
        <w:autoSpaceDN/>
        <w:bidi w:val="0"/>
        <w:snapToGrid/>
        <w:spacing w:line="360" w:lineRule="auto"/>
        <w:ind w:firstLine="480"/>
        <w:rPr>
          <w:rFonts w:hint="eastAsia" w:ascii="仿宋" w:hAnsi="仿宋" w:eastAsia="仿宋" w:cs="仿宋"/>
          <w:sz w:val="24"/>
          <w:szCs w:val="24"/>
        </w:rPr>
      </w:pPr>
      <w:r>
        <w:rPr>
          <w:rFonts w:hint="eastAsia" w:ascii="仿宋" w:hAnsi="仿宋" w:eastAsia="仿宋" w:cs="仿宋"/>
          <w:sz w:val="24"/>
          <w:szCs w:val="24"/>
        </w:rPr>
        <w:t>系统能够采集入侵低空飞行物的方位、距离，能够定位低空飞行物操控者，能自动向管控平台或值班人员提供探测区域内的低空飞行物飞入或起飞的报警信息。</w:t>
      </w:r>
    </w:p>
    <w:p>
      <w:pPr>
        <w:pStyle w:val="314"/>
        <w:keepNext w:val="0"/>
        <w:keepLines w:val="0"/>
        <w:pageBreakBefore w:val="0"/>
        <w:widowControl/>
        <w:numPr>
          <w:ilvl w:val="0"/>
          <w:numId w:val="17"/>
        </w:numPr>
        <w:tabs>
          <w:tab w:val="left" w:pos="900"/>
        </w:tabs>
        <w:kinsoku/>
        <w:wordWrap/>
        <w:overflowPunct/>
        <w:topLinePunct w:val="0"/>
        <w:autoSpaceDE/>
        <w:autoSpaceDN/>
        <w:bidi w:val="0"/>
        <w:snapToGrid/>
        <w:spacing w:line="360" w:lineRule="auto"/>
        <w:ind w:firstLine="480"/>
        <w:rPr>
          <w:rFonts w:hint="eastAsia" w:ascii="仿宋" w:hAnsi="仿宋" w:eastAsia="仿宋" w:cs="仿宋"/>
          <w:sz w:val="24"/>
          <w:szCs w:val="24"/>
        </w:rPr>
      </w:pPr>
      <w:r>
        <w:rPr>
          <w:rFonts w:hint="eastAsia" w:ascii="仿宋" w:hAnsi="仿宋" w:eastAsia="仿宋" w:cs="仿宋"/>
          <w:sz w:val="24"/>
          <w:szCs w:val="24"/>
        </w:rPr>
        <w:t>系统具备通过有线组网方式，可实现对区域内多套低空飞行物探测和防御设施实施远程指挥、远程控制以及资源分配与调度的功能。应具备对各设备工作状态和使用的管理功能，实时检测各个设备的工作状态具备用户访问管理功能，按照不同访问权限实现对系统的访问，调取相应数据信息。</w:t>
      </w:r>
    </w:p>
    <w:p>
      <w:pPr>
        <w:pStyle w:val="314"/>
        <w:keepNext w:val="0"/>
        <w:keepLines w:val="0"/>
        <w:pageBreakBefore w:val="0"/>
        <w:widowControl/>
        <w:numPr>
          <w:ilvl w:val="0"/>
          <w:numId w:val="17"/>
        </w:numPr>
        <w:tabs>
          <w:tab w:val="left" w:pos="900"/>
        </w:tabs>
        <w:kinsoku/>
        <w:wordWrap/>
        <w:overflowPunct/>
        <w:topLinePunct w:val="0"/>
        <w:autoSpaceDE/>
        <w:autoSpaceDN/>
        <w:bidi w:val="0"/>
        <w:snapToGrid/>
        <w:spacing w:line="360" w:lineRule="auto"/>
        <w:ind w:firstLine="480"/>
        <w:rPr>
          <w:rFonts w:hint="eastAsia" w:ascii="仿宋" w:hAnsi="仿宋" w:eastAsia="仿宋" w:cs="仿宋"/>
          <w:sz w:val="24"/>
          <w:szCs w:val="24"/>
        </w:rPr>
      </w:pPr>
      <w:r>
        <w:rPr>
          <w:rFonts w:hint="eastAsia" w:ascii="仿宋" w:hAnsi="仿宋" w:eastAsia="仿宋" w:cs="仿宋"/>
          <w:sz w:val="24"/>
          <w:szCs w:val="24"/>
        </w:rPr>
        <w:t>系统具备对低空飞行物从探测发现到处置信息的记录、查询功能，信息存储天数应不低于90天。</w:t>
      </w:r>
    </w:p>
    <w:p>
      <w:pPr>
        <w:pStyle w:val="314"/>
        <w:keepNext w:val="0"/>
        <w:keepLines w:val="0"/>
        <w:pageBreakBefore w:val="0"/>
        <w:widowControl/>
        <w:numPr>
          <w:ilvl w:val="0"/>
          <w:numId w:val="17"/>
        </w:numPr>
        <w:tabs>
          <w:tab w:val="left" w:pos="900"/>
        </w:tabs>
        <w:kinsoku/>
        <w:wordWrap/>
        <w:overflowPunct/>
        <w:topLinePunct w:val="0"/>
        <w:autoSpaceDE/>
        <w:autoSpaceDN/>
        <w:bidi w:val="0"/>
        <w:snapToGrid/>
        <w:spacing w:line="360" w:lineRule="auto"/>
        <w:ind w:firstLine="480"/>
        <w:rPr>
          <w:rFonts w:hint="eastAsia" w:ascii="仿宋" w:hAnsi="仿宋" w:eastAsia="仿宋" w:cs="仿宋"/>
          <w:sz w:val="24"/>
          <w:szCs w:val="24"/>
        </w:rPr>
      </w:pPr>
      <w:r>
        <w:rPr>
          <w:rFonts w:hint="eastAsia" w:ascii="仿宋" w:hAnsi="仿宋" w:eastAsia="仿宋" w:cs="仿宋"/>
          <w:sz w:val="24"/>
          <w:szCs w:val="24"/>
        </w:rPr>
        <w:t>可提供SDK、API接口协议与汉中监狱安防监控系统融合，实现各类型警情集中监控显示、统一调度指控。</w:t>
      </w:r>
    </w:p>
    <w:p>
      <w:pPr>
        <w:pStyle w:val="314"/>
        <w:keepNext w:val="0"/>
        <w:keepLines w:val="0"/>
        <w:pageBreakBefore w:val="0"/>
        <w:widowControl/>
        <w:numPr>
          <w:ilvl w:val="0"/>
          <w:numId w:val="16"/>
        </w:numPr>
        <w:kinsoku/>
        <w:wordWrap/>
        <w:overflowPunct/>
        <w:topLinePunct w:val="0"/>
        <w:autoSpaceDE/>
        <w:autoSpaceDN/>
        <w:bidi w:val="0"/>
        <w:snapToGrid/>
        <w:spacing w:line="360" w:lineRule="auto"/>
        <w:ind w:firstLineChars="0"/>
        <w:rPr>
          <w:rFonts w:hint="eastAsia" w:ascii="仿宋" w:hAnsi="仿宋" w:eastAsia="仿宋" w:cs="仿宋"/>
          <w:b/>
          <w:bCs/>
          <w:sz w:val="24"/>
          <w:szCs w:val="24"/>
        </w:rPr>
      </w:pPr>
      <w:r>
        <w:rPr>
          <w:rFonts w:hint="eastAsia" w:ascii="仿宋" w:hAnsi="仿宋" w:eastAsia="仿宋" w:cs="仿宋"/>
          <w:b/>
          <w:bCs/>
          <w:sz w:val="24"/>
          <w:szCs w:val="24"/>
        </w:rPr>
        <w:t>技术规范</w:t>
      </w:r>
    </w:p>
    <w:p>
      <w:pPr>
        <w:keepNext w:val="0"/>
        <w:keepLines w:val="0"/>
        <w:pageBreakBefore w:val="0"/>
        <w:numPr>
          <w:ilvl w:val="0"/>
          <w:numId w:val="18"/>
        </w:numPr>
        <w:tabs>
          <w:tab w:val="left" w:pos="90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《关于加强反恐怖重点目标低空飞行物防御工作的通知》（国反恐办发〔2018〕88号）</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《关于加强监狱低空飞行物防御工作的意见》（司狱字〔2019〕165号）</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GB/T 8702-2014《电磁环境控制限值》  </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GB/T 50348-2018《安全防范工程技术标准》 </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GB/T 32581-2016《入侵和紧急报警系统技术要求》；</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GB 50348-2018《安全防范工程技术标准》；</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《无人驾驶航空器飞行管理暂行条例》</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GB/T 15408-2011《安全防范系统供电技术要求》；</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GB50057-2010《建筑物防雷设计规范》；</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GBT17626，2-2006《电磁兼容、试验和测量技术》，</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GB2064-1983《电气设备安全设计导则》；</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GB 50524-96《电器装置安全工程抵押电器施工及验收规范》；</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GB50017-1003《钢结构设计规范》；</w:t>
      </w:r>
    </w:p>
    <w:p>
      <w:pPr>
        <w:keepNext w:val="0"/>
        <w:keepLines w:val="0"/>
        <w:pageBreakBefore w:val="0"/>
        <w:numPr>
          <w:ilvl w:val="0"/>
          <w:numId w:val="18"/>
        </w:numPr>
        <w:tabs>
          <w:tab w:val="left" w:pos="910"/>
        </w:tabs>
        <w:kinsoku/>
        <w:wordWrap/>
        <w:overflowPunct/>
        <w:topLinePunct w:val="0"/>
        <w:autoSpaceDE/>
        <w:autoSpaceDN/>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其他相关的国标，推荐执行标准及规范； </w:t>
      </w:r>
    </w:p>
    <w:p>
      <w:pPr>
        <w:pStyle w:val="314"/>
        <w:widowControl/>
        <w:numPr>
          <w:ilvl w:val="0"/>
          <w:numId w:val="16"/>
        </w:numPr>
        <w:snapToGrid/>
        <w:spacing w:line="240" w:lineRule="auto"/>
        <w:ind w:firstLineChars="0"/>
        <w:rPr>
          <w:rFonts w:hint="eastAsia" w:ascii="仿宋" w:hAnsi="仿宋" w:eastAsia="仿宋" w:cs="仿宋"/>
          <w:b/>
          <w:bCs/>
        </w:rPr>
      </w:pPr>
      <w:bookmarkStart w:id="122" w:name="_Toc18180004"/>
      <w:r>
        <w:rPr>
          <w:rFonts w:hint="eastAsia" w:ascii="仿宋" w:hAnsi="仿宋" w:eastAsia="仿宋" w:cs="仿宋"/>
          <w:b/>
          <w:bCs/>
        </w:rPr>
        <w:t>指标要求</w:t>
      </w:r>
      <w:bookmarkEnd w:id="122"/>
    </w:p>
    <w:tbl>
      <w:tblPr>
        <w:tblStyle w:val="47"/>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09"/>
        <w:gridCol w:w="6974"/>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blHeader/>
          <w:jc w:val="center"/>
        </w:trPr>
        <w:tc>
          <w:tcPr>
            <w:tcW w:w="568" w:type="dxa"/>
            <w:vAlign w:val="center"/>
          </w:tcPr>
          <w:p>
            <w:pPr>
              <w:spacing w:line="400" w:lineRule="exact"/>
              <w:jc w:val="center"/>
              <w:rPr>
                <w:rFonts w:hint="eastAsia" w:ascii="仿宋" w:hAnsi="仿宋" w:eastAsia="仿宋" w:cs="仿宋"/>
                <w:sz w:val="24"/>
                <w:szCs w:val="21"/>
              </w:rPr>
            </w:pPr>
            <w:r>
              <w:rPr>
                <w:rFonts w:hint="eastAsia" w:ascii="仿宋" w:hAnsi="仿宋" w:eastAsia="仿宋" w:cs="仿宋"/>
                <w:szCs w:val="21"/>
              </w:rPr>
              <w:br w:type="page"/>
            </w:r>
            <w:r>
              <w:rPr>
                <w:rFonts w:hint="eastAsia" w:ascii="仿宋" w:hAnsi="仿宋" w:eastAsia="仿宋" w:cs="仿宋"/>
                <w:sz w:val="24"/>
                <w:szCs w:val="21"/>
              </w:rPr>
              <w:t>序号</w:t>
            </w:r>
          </w:p>
        </w:tc>
        <w:tc>
          <w:tcPr>
            <w:tcW w:w="709" w:type="dxa"/>
            <w:vAlign w:val="center"/>
          </w:tcPr>
          <w:p>
            <w:pPr>
              <w:spacing w:line="400" w:lineRule="exact"/>
              <w:jc w:val="center"/>
              <w:rPr>
                <w:rFonts w:hint="eastAsia" w:ascii="仿宋" w:hAnsi="仿宋" w:eastAsia="仿宋" w:cs="仿宋"/>
                <w:sz w:val="24"/>
                <w:szCs w:val="21"/>
              </w:rPr>
            </w:pPr>
            <w:r>
              <w:rPr>
                <w:rFonts w:hint="eastAsia" w:ascii="仿宋" w:hAnsi="仿宋" w:eastAsia="仿宋" w:cs="仿宋"/>
                <w:sz w:val="24"/>
                <w:szCs w:val="21"/>
              </w:rPr>
              <w:t>类别</w:t>
            </w:r>
          </w:p>
        </w:tc>
        <w:tc>
          <w:tcPr>
            <w:tcW w:w="6974" w:type="dxa"/>
            <w:vAlign w:val="center"/>
          </w:tcPr>
          <w:p>
            <w:pPr>
              <w:spacing w:line="400" w:lineRule="exact"/>
              <w:jc w:val="center"/>
              <w:rPr>
                <w:rFonts w:hint="eastAsia" w:ascii="仿宋" w:hAnsi="仿宋" w:eastAsia="仿宋" w:cs="仿宋"/>
                <w:sz w:val="24"/>
                <w:szCs w:val="21"/>
              </w:rPr>
            </w:pPr>
            <w:r>
              <w:rPr>
                <w:rFonts w:hint="eastAsia" w:ascii="仿宋" w:hAnsi="仿宋" w:eastAsia="仿宋" w:cs="仿宋"/>
                <w:sz w:val="24"/>
                <w:szCs w:val="21"/>
              </w:rPr>
              <w:t>技术参数要求</w:t>
            </w:r>
          </w:p>
        </w:tc>
        <w:tc>
          <w:tcPr>
            <w:tcW w:w="397" w:type="dxa"/>
            <w:vAlign w:val="center"/>
          </w:tcPr>
          <w:p>
            <w:pPr>
              <w:spacing w:line="400" w:lineRule="exact"/>
              <w:jc w:val="center"/>
              <w:rPr>
                <w:rFonts w:hint="eastAsia" w:ascii="仿宋" w:hAnsi="仿宋" w:eastAsia="仿宋" w:cs="仿宋"/>
                <w:sz w:val="24"/>
                <w:szCs w:val="21"/>
              </w:rPr>
            </w:pPr>
            <w:r>
              <w:rPr>
                <w:rFonts w:hint="eastAsia" w:ascii="仿宋" w:hAnsi="仿宋" w:eastAsia="仿宋" w:cs="仿宋"/>
                <w:sz w:val="24"/>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4" w:hRule="atLeast"/>
          <w:jc w:val="center"/>
        </w:trPr>
        <w:tc>
          <w:tcPr>
            <w:tcW w:w="568" w:type="dxa"/>
            <w:vAlign w:val="center"/>
          </w:tcPr>
          <w:p>
            <w:pPr>
              <w:spacing w:line="400" w:lineRule="exact"/>
              <w:jc w:val="center"/>
              <w:rPr>
                <w:rFonts w:hint="eastAsia" w:ascii="仿宋" w:hAnsi="仿宋" w:eastAsia="仿宋" w:cs="仿宋"/>
                <w:sz w:val="24"/>
                <w:szCs w:val="21"/>
              </w:rPr>
            </w:pPr>
            <w:r>
              <w:rPr>
                <w:rFonts w:hint="eastAsia" w:ascii="仿宋" w:hAnsi="仿宋" w:eastAsia="仿宋" w:cs="仿宋"/>
                <w:sz w:val="24"/>
                <w:szCs w:val="21"/>
              </w:rPr>
              <w:t>1</w:t>
            </w:r>
          </w:p>
        </w:tc>
        <w:tc>
          <w:tcPr>
            <w:tcW w:w="709" w:type="dxa"/>
            <w:vAlign w:val="center"/>
          </w:tcPr>
          <w:p>
            <w:pPr>
              <w:spacing w:line="400" w:lineRule="exact"/>
              <w:rPr>
                <w:rFonts w:hint="eastAsia" w:ascii="仿宋" w:hAnsi="仿宋" w:eastAsia="仿宋" w:cs="仿宋"/>
                <w:b/>
                <w:bCs/>
                <w:sz w:val="24"/>
                <w:szCs w:val="21"/>
              </w:rPr>
            </w:pPr>
            <w:r>
              <w:rPr>
                <w:rFonts w:hint="eastAsia" w:ascii="仿宋" w:hAnsi="仿宋" w:eastAsia="仿宋" w:cs="仿宋"/>
                <w:b/>
                <w:bCs/>
                <w:color w:val="000000"/>
                <w:szCs w:val="21"/>
              </w:rPr>
              <w:t>系统功能要求</w:t>
            </w:r>
          </w:p>
        </w:tc>
        <w:tc>
          <w:tcPr>
            <w:tcW w:w="6974" w:type="dxa"/>
          </w:tcPr>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*1、系统探测报警后应具备声光提示功能；</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*2、系统应支持各类报警信息显示，包括无人机型号、距离、高度等信息；</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*3、系统应支持报警目标实时轨迹显示；</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*4、系统应支持报警信息记录储存、查询及回放；</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*5、系统报警记录存储应不低于365天；</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*6、系统应具备GPS定位功能，可在地图上标识系统位置；</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*7、系统应具备防区自定义调整功能，可调整设置系统的探测范围和干扰范围；</w:t>
            </w:r>
          </w:p>
          <w:p>
            <w:pPr>
              <w:rPr>
                <w:rFonts w:hint="eastAsia" w:ascii="仿宋" w:hAnsi="仿宋" w:eastAsia="仿宋" w:cs="仿宋"/>
                <w:color w:val="000000"/>
                <w:szCs w:val="21"/>
              </w:rPr>
            </w:pPr>
            <w:r>
              <w:rPr>
                <w:rFonts w:hint="eastAsia" w:ascii="仿宋" w:hAnsi="仿宋" w:eastAsia="仿宋" w:cs="仿宋"/>
                <w:color w:val="000000"/>
                <w:szCs w:val="21"/>
              </w:rPr>
              <w:t>*8、具备低空飞行物目标数据统计分析功能；</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 xml:space="preserve"> 9、系统应支持远程固件升级功能；</w:t>
            </w:r>
          </w:p>
          <w:p>
            <w:pPr>
              <w:rPr>
                <w:rFonts w:hint="eastAsia" w:ascii="仿宋" w:hAnsi="仿宋" w:eastAsia="仿宋" w:cs="仿宋"/>
                <w:color w:val="000000"/>
                <w:szCs w:val="21"/>
              </w:rPr>
            </w:pPr>
            <w:r>
              <w:rPr>
                <w:rFonts w:hint="eastAsia" w:ascii="仿宋" w:hAnsi="仿宋" w:eastAsia="仿宋" w:cs="仿宋"/>
                <w:color w:val="000000"/>
                <w:szCs w:val="21"/>
              </w:rPr>
              <w:t>*10、具备硬件设备参数设置功能；</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*11、具备外部硬件设备接入功能；</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*12、系统具备用户访问管理功能，能按不同访问权限对系统进行操作；</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*13、系统应由频谱探测设备、便携式干扰器、无人值守告警装置组成。频谱探测设备、便携式干扰器、</w:t>
            </w:r>
            <w:r>
              <w:rPr>
                <w:rFonts w:hint="eastAsia" w:ascii="仿宋" w:hAnsi="仿宋" w:eastAsia="仿宋" w:cs="仿宋"/>
                <w:szCs w:val="21"/>
              </w:rPr>
              <w:t>主动探测预警设备</w:t>
            </w:r>
            <w:r>
              <w:rPr>
                <w:rFonts w:hint="eastAsia" w:ascii="仿宋" w:hAnsi="仿宋" w:eastAsia="仿宋" w:cs="仿宋"/>
                <w:color w:val="000000"/>
                <w:szCs w:val="21"/>
              </w:rPr>
              <w:t xml:space="preserve">应为同一供货厂家，以确保系统的兼容性和可扩展性； </w:t>
            </w:r>
          </w:p>
        </w:tc>
        <w:tc>
          <w:tcPr>
            <w:tcW w:w="397" w:type="dxa"/>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w:t>
            </w:r>
          </w:p>
          <w:p>
            <w:pPr>
              <w:pStyle w:val="13"/>
              <w:widowControl w:val="0"/>
              <w:jc w:val="both"/>
              <w:rPr>
                <w:rFonts w:hint="eastAsia" w:ascii="仿宋" w:hAnsi="仿宋" w:eastAsia="仿宋" w:cs="仿宋"/>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0" w:hRule="atLeast"/>
          <w:jc w:val="center"/>
        </w:trPr>
        <w:tc>
          <w:tcPr>
            <w:tcW w:w="568" w:type="dxa"/>
            <w:vAlign w:val="center"/>
          </w:tcPr>
          <w:p>
            <w:pPr>
              <w:spacing w:line="400" w:lineRule="exact"/>
              <w:jc w:val="center"/>
              <w:rPr>
                <w:rFonts w:hint="eastAsia" w:ascii="仿宋" w:hAnsi="仿宋" w:eastAsia="仿宋" w:cs="仿宋"/>
                <w:sz w:val="24"/>
                <w:szCs w:val="21"/>
              </w:rPr>
            </w:pPr>
            <w:r>
              <w:rPr>
                <w:rFonts w:hint="eastAsia" w:ascii="仿宋" w:hAnsi="仿宋" w:eastAsia="仿宋" w:cs="仿宋"/>
                <w:sz w:val="24"/>
                <w:szCs w:val="21"/>
              </w:rPr>
              <w:t>2</w:t>
            </w:r>
          </w:p>
        </w:tc>
        <w:tc>
          <w:tcPr>
            <w:tcW w:w="709" w:type="dxa"/>
            <w:vAlign w:val="center"/>
          </w:tcPr>
          <w:p>
            <w:pPr>
              <w:spacing w:line="400" w:lineRule="exact"/>
              <w:jc w:val="center"/>
              <w:rPr>
                <w:rFonts w:hint="eastAsia" w:ascii="仿宋" w:hAnsi="仿宋" w:eastAsia="仿宋" w:cs="仿宋"/>
                <w:sz w:val="24"/>
                <w:szCs w:val="21"/>
              </w:rPr>
            </w:pPr>
            <w:r>
              <w:rPr>
                <w:rFonts w:hint="eastAsia" w:ascii="仿宋" w:hAnsi="仿宋" w:eastAsia="仿宋" w:cs="仿宋"/>
                <w:b/>
                <w:color w:val="000000"/>
                <w:szCs w:val="21"/>
              </w:rPr>
              <w:t>频谱探测设备</w:t>
            </w:r>
          </w:p>
        </w:tc>
        <w:tc>
          <w:tcPr>
            <w:tcW w:w="6974" w:type="dxa"/>
          </w:tcPr>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*1、频谱探测设备为一体式结构集成于一个天线罩内，无外接功能模块。</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*2、频谱探测范围： 可探测到频率范围为70MHz~6GHz的电磁波信号；</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 xml:space="preserve"> 3.系统平均发现目标时间</w:t>
            </w:r>
            <w:r>
              <w:rPr>
                <w:rFonts w:hint="eastAsia" w:ascii="仿宋" w:hAnsi="仿宋" w:eastAsia="仿宋" w:cs="仿宋"/>
                <w:color w:val="000000"/>
                <w:szCs w:val="21"/>
              </w:rPr>
              <w:tab/>
            </w:r>
            <w:r>
              <w:rPr>
                <w:rFonts w:hint="eastAsia" w:ascii="仿宋" w:hAnsi="仿宋" w:eastAsia="仿宋" w:cs="仿宋"/>
                <w:color w:val="000000"/>
                <w:szCs w:val="21"/>
              </w:rPr>
              <w:t>≤5S(±3s)</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*4、角度探测精度：多次测量同一目标方位角的标准差≤3°；</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*5、探测距离：≥3km；</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*6、探测覆盖角度： 水平方位：360°全向；俯仰方位≥-75°~ 90°；</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*7、探测成功率：≥95%；</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*8、方位校准功能：频谱探测设备能以正北方或其他方位为基准自动校准方向，指北精度应＜3°；</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*9、设备具备白名单功能，能实现敌我识别；</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*10、设备具备交叉定位功能，多套设备可组网定位无人机位置。</w:t>
            </w:r>
          </w:p>
          <w:p>
            <w:pPr>
              <w:spacing w:line="276" w:lineRule="auto"/>
              <w:jc w:val="left"/>
              <w:rPr>
                <w:rFonts w:hint="eastAsia" w:ascii="仿宋" w:hAnsi="仿宋" w:eastAsia="仿宋" w:cs="仿宋"/>
                <w:color w:val="000000"/>
                <w:szCs w:val="21"/>
              </w:rPr>
            </w:pPr>
            <w:r>
              <w:rPr>
                <w:rFonts w:hint="eastAsia" w:ascii="仿宋" w:hAnsi="仿宋" w:eastAsia="仿宋" w:cs="仿宋"/>
                <w:color w:val="000000"/>
                <w:szCs w:val="21"/>
              </w:rPr>
              <w:t xml:space="preserve"> 11、供电方式：AC110~220V或直流供电；</w:t>
            </w:r>
          </w:p>
        </w:tc>
        <w:tc>
          <w:tcPr>
            <w:tcW w:w="397" w:type="dxa"/>
            <w:vAlign w:val="center"/>
          </w:tcPr>
          <w:p>
            <w:pPr>
              <w:spacing w:line="400" w:lineRule="exact"/>
              <w:rPr>
                <w:rFonts w:hint="eastAsia" w:ascii="仿宋" w:hAnsi="仿宋" w:eastAsia="仿宋" w:cs="仿宋"/>
                <w:sz w:val="24"/>
                <w:szCs w:val="21"/>
              </w:rPr>
            </w:pPr>
            <w:r>
              <w:rPr>
                <w:rFonts w:hint="eastAsia" w:ascii="仿宋" w:hAnsi="仿宋" w:eastAsia="仿宋" w:cs="仿宋"/>
                <w:sz w:val="24"/>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8" w:type="dxa"/>
            <w:vAlign w:val="center"/>
          </w:tcPr>
          <w:p>
            <w:pPr>
              <w:spacing w:line="400" w:lineRule="exact"/>
              <w:jc w:val="center"/>
              <w:rPr>
                <w:rFonts w:hint="eastAsia" w:ascii="仿宋" w:hAnsi="仿宋" w:eastAsia="仿宋" w:cs="仿宋"/>
                <w:sz w:val="24"/>
                <w:szCs w:val="21"/>
              </w:rPr>
            </w:pPr>
            <w:r>
              <w:rPr>
                <w:rFonts w:hint="eastAsia" w:ascii="仿宋" w:hAnsi="仿宋" w:eastAsia="仿宋" w:cs="仿宋"/>
                <w:sz w:val="24"/>
                <w:szCs w:val="21"/>
              </w:rPr>
              <w:t>3</w:t>
            </w:r>
          </w:p>
        </w:tc>
        <w:tc>
          <w:tcPr>
            <w:tcW w:w="709" w:type="dxa"/>
            <w:vAlign w:val="center"/>
          </w:tcPr>
          <w:p>
            <w:pPr>
              <w:spacing w:line="360" w:lineRule="exact"/>
              <w:rPr>
                <w:rFonts w:hint="eastAsia" w:ascii="仿宋" w:hAnsi="仿宋" w:eastAsia="仿宋" w:cs="仿宋"/>
                <w:b/>
                <w:bCs/>
                <w:szCs w:val="21"/>
              </w:rPr>
            </w:pPr>
            <w:r>
              <w:rPr>
                <w:rFonts w:hint="eastAsia" w:ascii="仿宋" w:hAnsi="仿宋" w:eastAsia="仿宋" w:cs="仿宋"/>
                <w:b/>
                <w:bCs/>
                <w:color w:val="000000"/>
                <w:szCs w:val="21"/>
              </w:rPr>
              <w:t>便携式干扰器</w:t>
            </w:r>
          </w:p>
        </w:tc>
        <w:tc>
          <w:tcPr>
            <w:tcW w:w="6974" w:type="dxa"/>
          </w:tcPr>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*1、应为一体式设计结构；干扰器电池、干扰源、发射天线均集成在一个天线罩内，无外接功能模块。</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2、具有驱离（拒止）和迫降两种模式，可对无人机目标进行驱离或迫降；</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3、应有电量显示功能，工作时应能有声音提示；</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4、尺寸：不超过</w:t>
            </w:r>
            <w:r>
              <w:rPr>
                <w:rFonts w:hint="eastAsia" w:ascii="仿宋" w:hAnsi="仿宋" w:eastAsia="仿宋" w:cs="仿宋"/>
                <w:szCs w:val="21"/>
              </w:rPr>
              <w:t>865mm（长）X225mm（宽）X165mm（高）</w:t>
            </w:r>
            <w:r>
              <w:rPr>
                <w:rFonts w:hint="eastAsia" w:ascii="仿宋" w:hAnsi="仿宋" w:eastAsia="仿宋" w:cs="仿宋"/>
                <w:color w:val="000000"/>
                <w:szCs w:val="21"/>
              </w:rPr>
              <w:t>；</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*5、重量：不超过3.9kg（不含电池）；</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 xml:space="preserve">*6、干扰信号频段：至少包括2.4GHz、5.8GHz 以及民用导航频段 </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 xml:space="preserve">*7、卫星定位干扰距离： ≥2Km；遥控数传信号干扰距离：≥1.5Km； </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*8、干通比（压制比）：不小于15:1；</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*9、干扰角度：俯仰角/方位角±15°以内；</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*10、连续工作时间：≥2h。</w:t>
            </w:r>
          </w:p>
        </w:tc>
        <w:tc>
          <w:tcPr>
            <w:tcW w:w="397" w:type="dxa"/>
            <w:vAlign w:val="center"/>
          </w:tcPr>
          <w:p>
            <w:pPr>
              <w:spacing w:line="400" w:lineRule="exact"/>
              <w:jc w:val="center"/>
              <w:rPr>
                <w:rFonts w:hint="eastAsia" w:ascii="仿宋" w:hAnsi="仿宋" w:eastAsia="仿宋" w:cs="仿宋"/>
                <w:sz w:val="24"/>
                <w:szCs w:val="21"/>
                <w:lang w:val="en-US" w:eastAsia="zh-CN"/>
              </w:rPr>
            </w:pPr>
            <w:r>
              <w:rPr>
                <w:rFonts w:hint="eastAsia" w:ascii="仿宋" w:hAnsi="仿宋" w:eastAsia="仿宋" w:cs="仿宋"/>
                <w:sz w:val="24"/>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8" w:type="dxa"/>
            <w:vAlign w:val="center"/>
          </w:tcPr>
          <w:p>
            <w:pPr>
              <w:spacing w:line="400" w:lineRule="exact"/>
              <w:jc w:val="center"/>
              <w:rPr>
                <w:rFonts w:hint="eastAsia" w:ascii="仿宋" w:hAnsi="仿宋" w:eastAsia="仿宋" w:cs="仿宋"/>
                <w:sz w:val="24"/>
                <w:szCs w:val="21"/>
                <w:lang w:eastAsia="zh-CN"/>
              </w:rPr>
            </w:pPr>
            <w:r>
              <w:rPr>
                <w:rFonts w:hint="eastAsia" w:ascii="仿宋" w:hAnsi="仿宋" w:eastAsia="仿宋" w:cs="仿宋"/>
                <w:sz w:val="24"/>
                <w:szCs w:val="21"/>
                <w:lang w:val="en-US" w:eastAsia="zh-CN"/>
              </w:rPr>
              <w:t>4</w:t>
            </w:r>
          </w:p>
        </w:tc>
        <w:tc>
          <w:tcPr>
            <w:tcW w:w="709" w:type="dxa"/>
            <w:vAlign w:val="center"/>
          </w:tcPr>
          <w:p>
            <w:pPr>
              <w:spacing w:line="360" w:lineRule="exact"/>
              <w:rPr>
                <w:rFonts w:hint="eastAsia" w:ascii="仿宋" w:hAnsi="仿宋" w:eastAsia="仿宋" w:cs="仿宋"/>
                <w:b/>
                <w:bCs/>
                <w:color w:val="000000"/>
                <w:szCs w:val="21"/>
              </w:rPr>
            </w:pPr>
            <w:r>
              <w:rPr>
                <w:rFonts w:hint="eastAsia" w:ascii="仿宋" w:hAnsi="仿宋" w:eastAsia="仿宋" w:cs="仿宋"/>
                <w:b/>
                <w:bCs/>
                <w:szCs w:val="21"/>
              </w:rPr>
              <w:t>主动探测预警设备</w:t>
            </w:r>
          </w:p>
        </w:tc>
        <w:tc>
          <w:tcPr>
            <w:tcW w:w="6974" w:type="dxa"/>
          </w:tcPr>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*1、相控阵雷达技术，软件功能包括防区搜索、上传、布防、撤防、警情查看、报警处理等；</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*2、多目标探测功能： 32个以上目标；</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*3、联动光电跟踪功能：设备应能对探测区域内的移动目标进行视频跟踪拍摄；</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*4、应能对视频画面中的任意区域自定义探测区域；</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*5、探测防护距离：≥50m；</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*6、探测防护角度：≥90°（水平）；</w:t>
            </w:r>
          </w:p>
          <w:p>
            <w:pPr>
              <w:spacing w:line="276" w:lineRule="auto"/>
              <w:rPr>
                <w:rFonts w:hint="eastAsia" w:ascii="仿宋" w:hAnsi="仿宋" w:eastAsia="仿宋" w:cs="仿宋"/>
                <w:color w:val="000000"/>
                <w:szCs w:val="21"/>
              </w:rPr>
            </w:pPr>
            <w:r>
              <w:rPr>
                <w:rFonts w:hint="eastAsia" w:ascii="仿宋" w:hAnsi="仿宋" w:eastAsia="仿宋" w:cs="仿宋"/>
                <w:color w:val="000000"/>
                <w:szCs w:val="21"/>
              </w:rPr>
              <w:t>*7.  防护等级：IP65</w:t>
            </w:r>
          </w:p>
        </w:tc>
        <w:tc>
          <w:tcPr>
            <w:tcW w:w="397" w:type="dxa"/>
            <w:vAlign w:val="center"/>
          </w:tcPr>
          <w:p>
            <w:pPr>
              <w:spacing w:line="400" w:lineRule="exact"/>
              <w:jc w:val="center"/>
              <w:rPr>
                <w:rFonts w:hint="eastAsia" w:ascii="仿宋" w:hAnsi="仿宋" w:eastAsia="仿宋" w:cs="仿宋"/>
                <w:sz w:val="24"/>
                <w:szCs w:val="21"/>
                <w:lang w:val="en-US" w:eastAsia="zh-CN"/>
              </w:rPr>
            </w:pPr>
            <w:r>
              <w:rPr>
                <w:rFonts w:hint="eastAsia" w:ascii="仿宋" w:hAnsi="仿宋" w:eastAsia="仿宋" w:cs="仿宋"/>
                <w:sz w:val="24"/>
                <w:szCs w:val="21"/>
                <w:lang w:val="en-US" w:eastAsia="zh-CN"/>
              </w:rPr>
              <w:t>1</w:t>
            </w:r>
          </w:p>
        </w:tc>
      </w:tr>
    </w:tbl>
    <w:p>
      <w:pPr>
        <w:widowControl w:val="0"/>
        <w:autoSpaceDE w:val="0"/>
        <w:autoSpaceDN w:val="0"/>
        <w:adjustRightInd w:val="0"/>
        <w:ind w:firstLine="480" w:firstLineChars="200"/>
        <w:rPr>
          <w:rFonts w:hint="eastAsia" w:ascii="仿宋" w:hAnsi="仿宋" w:eastAsia="仿宋" w:cs="仿宋"/>
          <w:color w:val="000000"/>
          <w:kern w:val="0"/>
          <w:sz w:val="24"/>
          <w:szCs w:val="24"/>
          <w:lang w:val="en-US" w:eastAsia="zh-CN" w:bidi="ar-SA"/>
        </w:rPr>
      </w:pPr>
    </w:p>
    <w:p>
      <w:pPr>
        <w:spacing w:line="360" w:lineRule="exact"/>
        <w:rPr>
          <w:rFonts w:hint="eastAsia" w:ascii="仿宋" w:hAnsi="仿宋" w:eastAsia="仿宋" w:cs="仿宋"/>
          <w:color w:val="000000"/>
          <w:szCs w:val="21"/>
        </w:rPr>
      </w:pPr>
      <w:r>
        <w:rPr>
          <w:rFonts w:hint="eastAsia" w:ascii="仿宋" w:hAnsi="仿宋" w:eastAsia="仿宋" w:cs="仿宋"/>
          <w:color w:val="000000"/>
          <w:szCs w:val="21"/>
        </w:rPr>
        <w:t>“*”号项为重要参数，需依据国家安全防范报警系统产品质量监督检验中心</w:t>
      </w:r>
      <w:r>
        <w:rPr>
          <w:rFonts w:hint="eastAsia" w:ascii="仿宋" w:hAnsi="仿宋" w:eastAsia="仿宋" w:cs="仿宋"/>
          <w:color w:val="000000"/>
          <w:szCs w:val="21"/>
          <w:lang w:eastAsia="zh-CN"/>
        </w:rPr>
        <w:t>、</w:t>
      </w:r>
      <w:r>
        <w:rPr>
          <w:rFonts w:hint="eastAsia" w:ascii="仿宋" w:hAnsi="仿宋" w:eastAsia="仿宋" w:cs="仿宋"/>
          <w:color w:val="000000"/>
          <w:szCs w:val="21"/>
        </w:rPr>
        <w:t>公安部安全防范报警系统产品质量监督检测测试中心出具的检测报告逐条核查，厂家提供检测报告复印件加盖生产厂家公章，原件备查。</w:t>
      </w:r>
    </w:p>
    <w:p>
      <w:pPr>
        <w:pStyle w:val="2"/>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rPr>
      </w:pPr>
      <w:r>
        <w:rPr>
          <w:rFonts w:hint="eastAsia" w:ascii="仿宋" w:hAnsi="仿宋" w:eastAsia="仿宋" w:cs="仿宋"/>
        </w:rPr>
        <w:t>以上设备系统预中标公示后3日内需提供满足参数的整机产品来实地演示测验性能是否合格,样机不符合招标要求、测试不合者以及未按时提供设备进行测试的都视作供应商产品性能不符，采购方有权做废标处理并保留追究供应商虚假应标责任的权利。</w:t>
      </w:r>
    </w:p>
    <w:p>
      <w:pPr>
        <w:spacing w:line="320" w:lineRule="exact"/>
        <w:jc w:val="left"/>
        <w:outlineLvl w:val="2"/>
        <w:rPr>
          <w:rFonts w:hint="eastAsia" w:ascii="仿宋" w:hAnsi="仿宋" w:eastAsia="仿宋" w:cs="仿宋"/>
          <w:color w:val="000000" w:themeColor="text1"/>
          <w:sz w:val="24"/>
          <w:highlight w:val="none"/>
        </w:rPr>
      </w:pPr>
    </w:p>
    <w:p>
      <w:pPr>
        <w:adjustRightInd w:val="0"/>
        <w:snapToGrid w:val="0"/>
        <w:spacing w:line="440" w:lineRule="exact"/>
        <w:rPr>
          <w:rFonts w:hint="eastAsia" w:ascii="仿宋" w:hAnsi="仿宋" w:eastAsia="仿宋" w:cs="仿宋"/>
          <w:color w:val="000000" w:themeColor="text1"/>
          <w:sz w:val="24"/>
          <w:szCs w:val="24"/>
          <w:highlight w:val="none"/>
        </w:rPr>
      </w:pPr>
    </w:p>
    <w:p>
      <w:pPr>
        <w:pStyle w:val="6"/>
        <w:rPr>
          <w:rFonts w:hint="eastAsia" w:ascii="仿宋" w:hAnsi="仿宋" w:eastAsia="仿宋" w:cs="仿宋"/>
          <w:color w:val="000000" w:themeColor="text1"/>
          <w:sz w:val="24"/>
          <w:szCs w:val="24"/>
          <w:highlight w:val="none"/>
        </w:rPr>
      </w:pPr>
    </w:p>
    <w:p>
      <w:pPr>
        <w:rPr>
          <w:rFonts w:hint="eastAsia" w:ascii="仿宋" w:hAnsi="仿宋" w:eastAsia="仿宋" w:cs="仿宋"/>
          <w:color w:val="000000" w:themeColor="text1"/>
          <w:sz w:val="24"/>
          <w:szCs w:val="24"/>
          <w:highlight w:val="none"/>
        </w:rPr>
      </w:pPr>
    </w:p>
    <w:p>
      <w:pPr>
        <w:pStyle w:val="6"/>
        <w:rPr>
          <w:rFonts w:hint="eastAsia" w:ascii="仿宋" w:hAnsi="仿宋" w:eastAsia="仿宋" w:cs="仿宋"/>
          <w:color w:val="000000" w:themeColor="text1"/>
          <w:sz w:val="24"/>
          <w:szCs w:val="24"/>
          <w:highlight w:val="none"/>
        </w:rPr>
      </w:pPr>
    </w:p>
    <w:p>
      <w:pPr>
        <w:rPr>
          <w:rFonts w:hint="eastAsia" w:ascii="仿宋" w:hAnsi="仿宋" w:eastAsia="仿宋" w:cs="仿宋"/>
          <w:color w:val="000000" w:themeColor="text1"/>
          <w:sz w:val="24"/>
          <w:szCs w:val="24"/>
          <w:highlight w:val="none"/>
        </w:rPr>
      </w:pPr>
    </w:p>
    <w:p>
      <w:pPr>
        <w:pStyle w:val="6"/>
        <w:rPr>
          <w:rFonts w:hint="eastAsia" w:ascii="仿宋" w:hAnsi="仿宋" w:eastAsia="仿宋" w:cs="仿宋"/>
          <w:color w:val="000000" w:themeColor="text1"/>
          <w:sz w:val="24"/>
          <w:szCs w:val="24"/>
          <w:highlight w:val="none"/>
        </w:rPr>
      </w:pPr>
    </w:p>
    <w:p>
      <w:pPr>
        <w:rPr>
          <w:rFonts w:hint="eastAsia" w:ascii="仿宋" w:hAnsi="仿宋" w:eastAsia="仿宋" w:cs="仿宋"/>
          <w:color w:val="000000" w:themeColor="text1"/>
          <w:sz w:val="24"/>
          <w:szCs w:val="24"/>
          <w:highlight w:val="none"/>
        </w:rPr>
      </w:pPr>
    </w:p>
    <w:p>
      <w:pPr>
        <w:widowControl/>
        <w:spacing w:line="360" w:lineRule="auto"/>
        <w:jc w:val="center"/>
        <w:rPr>
          <w:rFonts w:hint="eastAsia" w:ascii="仿宋" w:hAnsi="仿宋" w:eastAsia="仿宋" w:cs="仿宋"/>
          <w:color w:val="000000" w:themeColor="text1"/>
          <w:kern w:val="0"/>
          <w:sz w:val="24"/>
          <w:highlight w:val="none"/>
        </w:rPr>
      </w:pPr>
    </w:p>
    <w:p>
      <w:pPr>
        <w:pStyle w:val="3"/>
        <w:keepNext w:val="0"/>
        <w:keepLines w:val="0"/>
        <w:spacing w:line="440" w:lineRule="exact"/>
        <w:jc w:val="center"/>
        <w:rPr>
          <w:rFonts w:hint="eastAsia" w:ascii="仿宋" w:hAnsi="仿宋" w:eastAsia="仿宋" w:cs="仿宋"/>
          <w:color w:val="000000" w:themeColor="text1"/>
          <w:kern w:val="2"/>
          <w:sz w:val="30"/>
          <w:szCs w:val="30"/>
          <w:highlight w:val="none"/>
        </w:rPr>
      </w:pPr>
      <w:bookmarkStart w:id="123" w:name="_Toc28335"/>
      <w:r>
        <w:rPr>
          <w:rFonts w:hint="eastAsia" w:ascii="仿宋" w:hAnsi="仿宋" w:eastAsia="仿宋" w:cs="仿宋"/>
          <w:color w:val="000000" w:themeColor="text1"/>
          <w:kern w:val="2"/>
          <w:sz w:val="30"/>
          <w:szCs w:val="30"/>
          <w:highlight w:val="none"/>
        </w:rPr>
        <w:t>第六部分  商务及合同主要条款</w:t>
      </w:r>
      <w:bookmarkEnd w:id="123"/>
    </w:p>
    <w:p>
      <w:pPr>
        <w:adjustRightInd w:val="0"/>
        <w:snapToGrid w:val="0"/>
        <w:spacing w:line="440" w:lineRule="exact"/>
        <w:ind w:firstLine="482" w:firstLineChars="200"/>
        <w:rPr>
          <w:rFonts w:hint="eastAsia" w:ascii="仿宋" w:hAnsi="仿宋" w:eastAsia="仿宋" w:cs="仿宋"/>
          <w:b/>
          <w:color w:val="000000" w:themeColor="text1"/>
          <w:sz w:val="24"/>
          <w:szCs w:val="24"/>
          <w:highlight w:val="none"/>
          <w:u w:val="single"/>
        </w:rPr>
      </w:pPr>
      <w:r>
        <w:rPr>
          <w:rFonts w:hint="eastAsia" w:ascii="仿宋" w:hAnsi="仿宋" w:eastAsia="仿宋" w:cs="仿宋"/>
          <w:b/>
          <w:color w:val="000000" w:themeColor="text1"/>
          <w:sz w:val="24"/>
          <w:szCs w:val="24"/>
          <w:highlight w:val="none"/>
        </w:rPr>
        <w:t>采购人（全称）：</w:t>
      </w:r>
    </w:p>
    <w:p>
      <w:pPr>
        <w:adjustRightInd w:val="0"/>
        <w:snapToGrid w:val="0"/>
        <w:spacing w:line="440" w:lineRule="exact"/>
        <w:ind w:firstLine="482" w:firstLineChars="200"/>
        <w:rPr>
          <w:rFonts w:hint="eastAsia" w:ascii="仿宋" w:hAnsi="仿宋" w:eastAsia="仿宋" w:cs="仿宋"/>
          <w:color w:val="000000" w:themeColor="text1"/>
          <w:sz w:val="24"/>
          <w:szCs w:val="24"/>
          <w:highlight w:val="none"/>
        </w:rPr>
      </w:pPr>
      <w:r>
        <w:rPr>
          <w:rFonts w:hint="eastAsia" w:ascii="仿宋" w:hAnsi="仿宋" w:eastAsia="仿宋" w:cs="仿宋"/>
          <w:b/>
          <w:color w:val="000000" w:themeColor="text1"/>
          <w:sz w:val="24"/>
          <w:szCs w:val="24"/>
          <w:highlight w:val="none"/>
        </w:rPr>
        <w:t>供应商（全称）：</w:t>
      </w:r>
    </w:p>
    <w:p>
      <w:pPr>
        <w:adjustRightInd w:val="0"/>
        <w:snapToGrid w:val="0"/>
        <w:spacing w:line="440" w:lineRule="exact"/>
        <w:ind w:firstLine="480" w:firstLineChars="200"/>
        <w:rPr>
          <w:rFonts w:hint="eastAsia" w:ascii="仿宋" w:hAnsi="仿宋" w:eastAsia="仿宋" w:cs="仿宋"/>
          <w:color w:val="000000" w:themeColor="text1"/>
          <w:sz w:val="24"/>
          <w:szCs w:val="24"/>
          <w:highlight w:val="none"/>
          <w:u w:val="single"/>
        </w:rPr>
      </w:pPr>
      <w:r>
        <w:rPr>
          <w:rFonts w:hint="eastAsia" w:ascii="仿宋" w:hAnsi="仿宋" w:eastAsia="仿宋" w:cs="仿宋"/>
          <w:color w:val="000000" w:themeColor="text1"/>
          <w:sz w:val="24"/>
          <w:szCs w:val="24"/>
          <w:highlight w:val="none"/>
        </w:rPr>
        <w:t>根据《中华人民共和国合同法》及其他有关法律、法规，遵循平等、自愿、公平和诚信的原则，双方就下述项目范围与相关服务事项协商一致，订立本合同。</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一、项目概况</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1.项目名称：</w:t>
      </w:r>
      <w:r>
        <w:rPr>
          <w:rFonts w:hint="eastAsia" w:ascii="仿宋" w:hAnsi="仿宋" w:eastAsia="仿宋" w:cs="仿宋"/>
          <w:color w:val="000000" w:themeColor="text1"/>
          <w:sz w:val="24"/>
          <w:szCs w:val="24"/>
          <w:highlight w:val="none"/>
          <w:u w:val="single"/>
        </w:rPr>
        <w:t xml:space="preserve"> </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2.项目地点：</w:t>
      </w:r>
    </w:p>
    <w:p>
      <w:pPr>
        <w:adjustRightInd w:val="0"/>
        <w:snapToGrid w:val="0"/>
        <w:spacing w:line="440" w:lineRule="exact"/>
        <w:ind w:firstLine="475" w:firstLineChars="198"/>
        <w:jc w:val="lef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3.项目内容：</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二、组成本合同的文件</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1.协议书；</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2.成产通知书、响应文件、竞争性磋商文件、澄清、磋商补充文件；</w:t>
      </w:r>
    </w:p>
    <w:p>
      <w:pPr>
        <w:adjustRightInd w:val="0"/>
        <w:snapToGrid w:val="0"/>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3.相关服务建议书；</w:t>
      </w:r>
    </w:p>
    <w:p>
      <w:pPr>
        <w:adjustRightInd w:val="0"/>
        <w:snapToGrid w:val="0"/>
        <w:spacing w:line="44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    4.附录，即：附表内相关服务的范围和内容；</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本合同签订后，双方依法签订的补充协议也是本合同文件的组成部分。</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三、合同金额</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合同金额（大写）：（¥    ）。</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合同总价即中标价（包括了人工费、材料费、机械费、管理费、利润、税金、现场看护费以及需要承担的所有风险等一切费用），中标价不受市场价变化或实际工作量变化的影响。</w:t>
      </w:r>
    </w:p>
    <w:p>
      <w:pPr>
        <w:adjustRightInd w:val="0"/>
        <w:snapToGrid w:val="0"/>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四、结算方式：</w:t>
      </w:r>
    </w:p>
    <w:p>
      <w:pPr>
        <w:adjustRightInd w:val="0"/>
        <w:snapToGrid w:val="0"/>
        <w:spacing w:line="440" w:lineRule="exact"/>
        <w:ind w:firstLine="360" w:firstLineChars="15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（1）结算单位：银行转账，由采购人负责结算。在第二次付款前，供应商必须开具与合同金额相应的发票给采购人，附详细清单。</w:t>
      </w:r>
    </w:p>
    <w:p>
      <w:pPr>
        <w:adjustRightInd w:val="0"/>
        <w:snapToGrid w:val="0"/>
        <w:spacing w:line="440" w:lineRule="exact"/>
        <w:ind w:firstLine="360" w:firstLineChars="15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（2）付款方式：</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①.采购合同签订后采购人向供应商支付40%的预付款；</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②.验收合格后支付总价款的85%；</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fldChar w:fldCharType="begin"/>
      </w:r>
      <w:r>
        <w:rPr>
          <w:rFonts w:hint="eastAsia" w:ascii="仿宋" w:hAnsi="仿宋" w:eastAsia="仿宋" w:cs="仿宋"/>
          <w:color w:val="000000" w:themeColor="text1"/>
          <w:sz w:val="24"/>
          <w:szCs w:val="24"/>
          <w:highlight w:val="none"/>
        </w:rPr>
        <w:instrText xml:space="preserve"> = 3 \* GB3 \* MERGEFORMAT </w:instrText>
      </w:r>
      <w:r>
        <w:rPr>
          <w:rFonts w:hint="eastAsia" w:ascii="仿宋" w:hAnsi="仿宋" w:eastAsia="仿宋" w:cs="仿宋"/>
          <w:color w:val="000000" w:themeColor="text1"/>
          <w:sz w:val="24"/>
          <w:szCs w:val="24"/>
          <w:highlight w:val="none"/>
        </w:rPr>
        <w:fldChar w:fldCharType="separate"/>
      </w:r>
      <w:r>
        <w:rPr>
          <w:rFonts w:hint="eastAsia" w:ascii="仿宋" w:hAnsi="仿宋" w:eastAsia="仿宋" w:cs="仿宋"/>
          <w:color w:val="000000" w:themeColor="text1"/>
          <w:sz w:val="24"/>
          <w:szCs w:val="24"/>
          <w:highlight w:val="none"/>
        </w:rPr>
        <w:t>③</w:t>
      </w:r>
      <w:r>
        <w:rPr>
          <w:rFonts w:hint="eastAsia" w:ascii="仿宋" w:hAnsi="仿宋" w:eastAsia="仿宋" w:cs="仿宋"/>
          <w:color w:val="000000" w:themeColor="text1"/>
          <w:sz w:val="24"/>
          <w:szCs w:val="24"/>
          <w:highlight w:val="none"/>
        </w:rPr>
        <w:fldChar w:fldCharType="end"/>
      </w:r>
      <w:r>
        <w:rPr>
          <w:rFonts w:hint="eastAsia" w:ascii="仿宋" w:hAnsi="仿宋" w:eastAsia="仿宋" w:cs="仿宋"/>
          <w:color w:val="000000" w:themeColor="text1"/>
          <w:sz w:val="24"/>
          <w:szCs w:val="24"/>
          <w:highlight w:val="none"/>
        </w:rPr>
        <w:t>.结算审计后，支付结算价款的97%；</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④.剩余3%作为质保金，自验收合格之日起12个月后，在无索赔争议的情况下支付供应商。</w:t>
      </w:r>
    </w:p>
    <w:p>
      <w:pPr>
        <w:tabs>
          <w:tab w:val="left" w:pos="1418"/>
        </w:tabs>
        <w:adjustRightInd w:val="0"/>
        <w:snapToGrid w:val="0"/>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五、交货期限</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自合同签订起</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日内送货到指定地点。</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六、双方承诺</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1.供应商向采购人承诺，按照本合同约定提供相关服务。监狱内施工要严格遵守监狱的规章制度，外来人员进监狱必须有公安机关的无犯罪记录证明，监狱内施工必须不能影响监狱的正常执法活动。</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2.采购人向供应商承诺，按照本合同约定支付服务款项。</w:t>
      </w:r>
    </w:p>
    <w:p>
      <w:pPr>
        <w:tabs>
          <w:tab w:val="left" w:pos="840"/>
        </w:tabs>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七、内容及要求</w:t>
      </w:r>
    </w:p>
    <w:p>
      <w:pPr>
        <w:tabs>
          <w:tab w:val="left" w:pos="840"/>
        </w:tabs>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即交付的货物、服务内容、数量与投标文件、招标文件等所指明的，或者与本合同所指明的产品、服务内容相一致。（附清单）</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八、安装及调试要求</w:t>
      </w:r>
    </w:p>
    <w:p>
      <w:pPr>
        <w:tabs>
          <w:tab w:val="left" w:pos="840"/>
        </w:tabs>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1.供应商应遵守现场的一切规章制度，文明施工；</w:t>
      </w:r>
    </w:p>
    <w:p>
      <w:pPr>
        <w:tabs>
          <w:tab w:val="left" w:pos="840"/>
        </w:tabs>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2.供应商负责保管、看护进场的设备及附配件直至完成安装调试后交付采购人；</w:t>
      </w:r>
    </w:p>
    <w:p>
      <w:pPr>
        <w:tabs>
          <w:tab w:val="left" w:pos="840"/>
        </w:tabs>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3.供应商负责设备、安装设备（工具）等提供适当的保护、包装或覆盖等处理，直至验收合格，以免受损；</w:t>
      </w:r>
    </w:p>
    <w:p>
      <w:pPr>
        <w:tabs>
          <w:tab w:val="left" w:pos="840"/>
        </w:tabs>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4.供应商施工工人、施工机械或在运输装卸途中对其他工程及邻近设备、管线等造成损坏，应由供应商负责修复及承担一切费用；</w:t>
      </w:r>
    </w:p>
    <w:p>
      <w:pPr>
        <w:tabs>
          <w:tab w:val="left" w:pos="840"/>
        </w:tabs>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5.无论调试期间或保修过程中，供应商负责及时清理垃圾，并将包装物及垃圾堆放至甲方指定地点。</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九、运输要求</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1.供应商根据货物特性，自行选择运输及包装方式，承担一切运输费用，包死在合同总价内。</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2.供应商应在合同规定的时间内完成该项工作。如因供应商责任而造成延期，每超过一天按合同结算款的（1‰）支付采购人误期赔偿金，直至完工或提供服务结束为止，所有因延期而产生的费用由供应商承担。</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十、质量保证</w:t>
      </w:r>
    </w:p>
    <w:p>
      <w:pPr>
        <w:spacing w:line="440" w:lineRule="exact"/>
        <w:ind w:firstLine="480" w:firstLineChars="200"/>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1.本项目整体验收合格后质保期年（不得低于壹年，以投标文件所报的质保期为最终质保期）。</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2.供应商应当保证所供产品的来源渠道正常，产品完全符合国家和合同规定的质量、规格、技术指标等要求，并在质保期内因产品质量问题引发的事故，由供应商承担经济赔偿责任以及其他法律责任。</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3.在质保期内，如果发现产品的质量、规格、技术指标等存在与合同中任何一项不符，采购单位应在最短时间内，以书面形式向供应商提出索赔，同时通告采购代理机构。</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4.供应商应当明确售后服务公约, 供应商必须按照使用单位人员通知的时间、数量、品种、品质要求准时送货，经验收合格后签字确认，不能以任何理由推托，一旦影响到正常工作，供应商应承担相应的经济赔偿。</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十一、验收</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 工程完工后，供应商应书面通知采购人进行验收。</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2.验收依据</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a)合同文本；</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b)投标文件及澄清函、招标文件；</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c)国家和行业制定的相应的标准和规范；</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d)验收清单</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3.验收合格后，填写验收单，双方签字生效。</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十二、保密</w:t>
      </w:r>
    </w:p>
    <w:p>
      <w:pPr>
        <w:tabs>
          <w:tab w:val="left" w:pos="1080"/>
        </w:tabs>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须严格保密，对工作中了解到的采购人的技术、机密等进行保密，不得向他人泄漏。本合同的解除或终止不免除供应商应承担的保密义务。</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十三、知识产权</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十四、合同争议的解决</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合同执行中发生争议的，当事人双方应协商解决，协商达不成一致时，可向当地行政仲裁机关申请仲裁或者向人民法院提请诉讼。</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十五、不可抗力情况下的免责约定</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双方约定不可抗力情况包括：五级以上地震、大风、大雨、大雪。</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十六、合同执行中发生争议</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当事人双方应协商解决，协商达不成一致时，双方同意向</w:t>
      </w:r>
      <w:r>
        <w:rPr>
          <w:rFonts w:hint="eastAsia" w:ascii="仿宋" w:hAnsi="仿宋" w:eastAsia="仿宋" w:cs="仿宋"/>
          <w:color w:val="000000" w:themeColor="text1"/>
          <w:sz w:val="24"/>
          <w:szCs w:val="24"/>
          <w:highlight w:val="none"/>
          <w:lang w:eastAsia="zh-CN"/>
        </w:rPr>
        <w:t>汉中</w:t>
      </w:r>
      <w:r>
        <w:rPr>
          <w:rFonts w:hint="eastAsia" w:ascii="仿宋" w:hAnsi="仿宋" w:eastAsia="仿宋" w:cs="仿宋"/>
          <w:color w:val="000000" w:themeColor="text1"/>
          <w:sz w:val="24"/>
          <w:szCs w:val="24"/>
          <w:highlight w:val="none"/>
        </w:rPr>
        <w:t>市仲裁委员会申请仲裁。</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十七、违约责任</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依据《中华人民共和国合同法》、《中华人民共和国政府采购法》的相关条款和本合同约定，中标供应商未全面履行合同义务或者发生违约，采购单位会同采购代理机构有权终止合同，依法向中标供应商进行经济索赔，并报请政府采购监督管理机关进行相应的行政处罚。采购单位违约的，应当赔偿给中标供应商造成的经济损失。</w:t>
      </w:r>
    </w:p>
    <w:p>
      <w:pPr>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未按合同要求提供货物或货物质量不能满足技术要求，用户有权终止合同，并对其违约行为进行追究，同时将在今后三年内拒绝其参加采购人的同类项目。</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十八、其他（在合同中具体明确）</w:t>
      </w:r>
    </w:p>
    <w:p>
      <w:pPr>
        <w:spacing w:line="44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十九、合同订立</w:t>
      </w:r>
    </w:p>
    <w:p>
      <w:pPr>
        <w:adjustRightInd w:val="0"/>
        <w:snapToGrid w:val="0"/>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1.订立时间：年月日。</w:t>
      </w:r>
    </w:p>
    <w:p>
      <w:pPr>
        <w:adjustRightInd w:val="0"/>
        <w:snapToGrid w:val="0"/>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2.订立地点：。</w:t>
      </w:r>
    </w:p>
    <w:p>
      <w:pPr>
        <w:adjustRightInd w:val="0"/>
        <w:snapToGrid w:val="0"/>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3.本合同一式</w:t>
      </w:r>
      <w:r>
        <w:rPr>
          <w:rFonts w:hint="eastAsia" w:ascii="仿宋" w:hAnsi="仿宋" w:eastAsia="仿宋" w:cs="仿宋"/>
          <w:color w:val="000000" w:themeColor="text1"/>
          <w:sz w:val="24"/>
          <w:szCs w:val="24"/>
          <w:highlight w:val="none"/>
          <w:u w:val="single"/>
        </w:rPr>
        <w:t>捌</w:t>
      </w:r>
      <w:r>
        <w:rPr>
          <w:rFonts w:hint="eastAsia" w:ascii="仿宋" w:hAnsi="仿宋" w:eastAsia="仿宋" w:cs="仿宋"/>
          <w:color w:val="000000" w:themeColor="text1"/>
          <w:sz w:val="24"/>
          <w:szCs w:val="24"/>
          <w:highlight w:val="none"/>
        </w:rPr>
        <w:t>份，具有同等法律效力。采供双方各执</w:t>
      </w:r>
      <w:r>
        <w:rPr>
          <w:rFonts w:hint="eastAsia" w:ascii="仿宋" w:hAnsi="仿宋" w:eastAsia="仿宋" w:cs="仿宋"/>
          <w:color w:val="000000" w:themeColor="text1"/>
          <w:sz w:val="24"/>
          <w:szCs w:val="24"/>
          <w:highlight w:val="none"/>
          <w:u w:val="single"/>
        </w:rPr>
        <w:t>叁</w:t>
      </w:r>
      <w:r>
        <w:rPr>
          <w:rFonts w:hint="eastAsia" w:ascii="仿宋" w:hAnsi="仿宋" w:eastAsia="仿宋" w:cs="仿宋"/>
          <w:color w:val="000000" w:themeColor="text1"/>
          <w:sz w:val="24"/>
          <w:szCs w:val="24"/>
          <w:highlight w:val="none"/>
        </w:rPr>
        <w:t>份，监管部门备案</w:t>
      </w:r>
      <w:r>
        <w:rPr>
          <w:rFonts w:hint="eastAsia" w:ascii="仿宋" w:hAnsi="仿宋" w:eastAsia="仿宋" w:cs="仿宋"/>
          <w:color w:val="000000" w:themeColor="text1"/>
          <w:sz w:val="24"/>
          <w:szCs w:val="24"/>
          <w:highlight w:val="none"/>
          <w:u w:val="single"/>
        </w:rPr>
        <w:t xml:space="preserve"> 壹</w:t>
      </w:r>
      <w:r>
        <w:rPr>
          <w:rFonts w:hint="eastAsia" w:ascii="仿宋" w:hAnsi="仿宋" w:eastAsia="仿宋" w:cs="仿宋"/>
          <w:color w:val="000000" w:themeColor="text1"/>
          <w:sz w:val="24"/>
          <w:szCs w:val="24"/>
          <w:highlight w:val="none"/>
        </w:rPr>
        <w:t>份、采购代理机构存档</w:t>
      </w:r>
      <w:r>
        <w:rPr>
          <w:rFonts w:hint="eastAsia" w:ascii="仿宋" w:hAnsi="仿宋" w:eastAsia="仿宋" w:cs="仿宋"/>
          <w:color w:val="000000" w:themeColor="text1"/>
          <w:sz w:val="24"/>
          <w:szCs w:val="24"/>
          <w:highlight w:val="none"/>
          <w:u w:val="single"/>
        </w:rPr>
        <w:t xml:space="preserve"> 壹</w:t>
      </w:r>
      <w:r>
        <w:rPr>
          <w:rFonts w:hint="eastAsia" w:ascii="仿宋" w:hAnsi="仿宋" w:eastAsia="仿宋" w:cs="仿宋"/>
          <w:color w:val="000000" w:themeColor="text1"/>
          <w:sz w:val="24"/>
          <w:szCs w:val="24"/>
          <w:highlight w:val="none"/>
        </w:rPr>
        <w:t>份。各方签字盖章后生效，合同执行完毕自动失效。（合同的服务承诺则长期有效）。</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采购人：（盖章）                 供应商：       （盖章）</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地址：                           地址：</w:t>
      </w:r>
    </w:p>
    <w:p>
      <w:pPr>
        <w:adjustRightInd w:val="0"/>
        <w:snapToGrid w:val="0"/>
        <w:spacing w:line="44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邮政编码：                       邮政编码：</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法定代表人或其授权               法定代表人或其授权</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的代理人：（签字）               的代理人：（签字）</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开户银行：                       开户银行：</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账号：                           账号：</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电话：                           电话：</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传真：                           传真：</w:t>
      </w:r>
    </w:p>
    <w:p>
      <w:pPr>
        <w:adjustRightInd w:val="0"/>
        <w:snapToGrid w:val="0"/>
        <w:spacing w:line="440" w:lineRule="exact"/>
        <w:ind w:firstLine="475" w:firstLineChars="198"/>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电子邮箱：                       电子邮箱：</w:t>
      </w:r>
    </w:p>
    <w:p>
      <w:pPr>
        <w:pStyle w:val="6"/>
        <w:rPr>
          <w:rFonts w:hint="eastAsia" w:ascii="仿宋" w:hAnsi="仿宋" w:eastAsia="仿宋" w:cs="仿宋"/>
          <w:color w:val="000000" w:themeColor="text1"/>
          <w:kern w:val="2"/>
          <w:sz w:val="24"/>
          <w:szCs w:val="24"/>
          <w:highlight w:val="none"/>
        </w:rPr>
      </w:pPr>
    </w:p>
    <w:p>
      <w:pPr>
        <w:rPr>
          <w:rFonts w:hint="eastAsia" w:ascii="仿宋" w:hAnsi="仿宋" w:eastAsia="仿宋" w:cs="仿宋"/>
          <w:color w:val="000000" w:themeColor="text1"/>
          <w:sz w:val="24"/>
          <w:szCs w:val="24"/>
          <w:highlight w:val="none"/>
        </w:rPr>
      </w:pPr>
    </w:p>
    <w:p>
      <w:pPr>
        <w:pStyle w:val="6"/>
        <w:rPr>
          <w:rFonts w:hint="eastAsia" w:ascii="仿宋" w:hAnsi="仿宋" w:eastAsia="仿宋" w:cs="仿宋"/>
          <w:color w:val="000000" w:themeColor="text1"/>
          <w:kern w:val="2"/>
          <w:sz w:val="24"/>
          <w:szCs w:val="24"/>
          <w:highlight w:val="none"/>
        </w:rPr>
      </w:pPr>
    </w:p>
    <w:p>
      <w:pPr>
        <w:rPr>
          <w:rFonts w:hint="eastAsia" w:ascii="仿宋" w:hAnsi="仿宋" w:eastAsia="仿宋" w:cs="仿宋"/>
          <w:color w:val="000000" w:themeColor="text1"/>
          <w:sz w:val="24"/>
          <w:szCs w:val="24"/>
          <w:highlight w:val="none"/>
        </w:rPr>
      </w:pPr>
    </w:p>
    <w:p>
      <w:pPr>
        <w:pStyle w:val="6"/>
        <w:rPr>
          <w:rFonts w:hint="eastAsia" w:ascii="仿宋" w:hAnsi="仿宋" w:eastAsia="仿宋" w:cs="仿宋"/>
          <w:color w:val="000000" w:themeColor="text1"/>
          <w:kern w:val="2"/>
          <w:sz w:val="24"/>
          <w:szCs w:val="24"/>
          <w:highlight w:val="none"/>
        </w:rPr>
      </w:pPr>
    </w:p>
    <w:p>
      <w:pPr>
        <w:rPr>
          <w:rFonts w:hint="eastAsia" w:ascii="仿宋" w:hAnsi="仿宋" w:eastAsia="仿宋" w:cs="仿宋"/>
          <w:color w:val="000000" w:themeColor="text1"/>
          <w:sz w:val="24"/>
          <w:szCs w:val="24"/>
          <w:highlight w:val="none"/>
        </w:rPr>
      </w:pPr>
    </w:p>
    <w:p>
      <w:pPr>
        <w:pStyle w:val="6"/>
        <w:rPr>
          <w:rFonts w:hint="eastAsia" w:ascii="仿宋" w:hAnsi="仿宋" w:eastAsia="仿宋" w:cs="仿宋"/>
          <w:color w:val="000000" w:themeColor="text1"/>
          <w:kern w:val="2"/>
          <w:sz w:val="24"/>
          <w:szCs w:val="24"/>
          <w:highlight w:val="none"/>
        </w:rPr>
      </w:pPr>
    </w:p>
    <w:p>
      <w:pPr>
        <w:rPr>
          <w:rFonts w:hint="eastAsia" w:ascii="仿宋" w:hAnsi="仿宋" w:eastAsia="仿宋" w:cs="仿宋"/>
          <w:color w:val="000000" w:themeColor="text1"/>
          <w:sz w:val="24"/>
          <w:szCs w:val="24"/>
          <w:highlight w:val="none"/>
        </w:rPr>
      </w:pPr>
    </w:p>
    <w:p>
      <w:pPr>
        <w:pStyle w:val="6"/>
        <w:rPr>
          <w:rFonts w:hint="eastAsia" w:ascii="仿宋" w:hAnsi="仿宋" w:eastAsia="仿宋" w:cs="仿宋"/>
          <w:color w:val="000000" w:themeColor="text1"/>
          <w:kern w:val="2"/>
          <w:sz w:val="24"/>
          <w:szCs w:val="24"/>
          <w:highlight w:val="none"/>
        </w:rPr>
      </w:pPr>
    </w:p>
    <w:p>
      <w:pPr>
        <w:rPr>
          <w:rFonts w:hint="eastAsia" w:ascii="仿宋" w:hAnsi="仿宋" w:eastAsia="仿宋" w:cs="仿宋"/>
          <w:color w:val="000000" w:themeColor="text1"/>
          <w:sz w:val="24"/>
          <w:szCs w:val="24"/>
          <w:highlight w:val="none"/>
        </w:rPr>
      </w:pPr>
    </w:p>
    <w:p>
      <w:pPr>
        <w:pStyle w:val="6"/>
        <w:rPr>
          <w:rFonts w:hint="eastAsia" w:ascii="仿宋" w:hAnsi="仿宋" w:eastAsia="仿宋" w:cs="仿宋"/>
          <w:color w:val="000000" w:themeColor="text1"/>
          <w:kern w:val="2"/>
          <w:sz w:val="24"/>
          <w:szCs w:val="24"/>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sz w:val="36"/>
          <w:highlight w:val="none"/>
        </w:rPr>
      </w:pPr>
    </w:p>
    <w:p>
      <w:pPr>
        <w:pStyle w:val="3"/>
        <w:numPr>
          <w:ilvl w:val="0"/>
          <w:numId w:val="0"/>
        </w:numPr>
        <w:spacing w:line="360" w:lineRule="auto"/>
        <w:jc w:val="center"/>
        <w:rPr>
          <w:rFonts w:hint="eastAsia" w:ascii="仿宋" w:hAnsi="仿宋" w:eastAsia="仿宋" w:cs="仿宋"/>
          <w:color w:val="000000" w:themeColor="text1"/>
          <w:sz w:val="30"/>
          <w:szCs w:val="30"/>
          <w:highlight w:val="none"/>
        </w:rPr>
      </w:pPr>
      <w:bookmarkStart w:id="124" w:name="_Toc26738"/>
      <w:r>
        <w:rPr>
          <w:rFonts w:hint="eastAsia" w:ascii="仿宋" w:hAnsi="仿宋" w:eastAsia="仿宋" w:cs="仿宋"/>
          <w:color w:val="000000" w:themeColor="text1"/>
          <w:sz w:val="30"/>
          <w:szCs w:val="30"/>
          <w:highlight w:val="none"/>
          <w:lang w:eastAsia="zh-CN"/>
        </w:rPr>
        <w:t>第七部分</w:t>
      </w:r>
      <w:r>
        <w:rPr>
          <w:rFonts w:hint="eastAsia" w:ascii="仿宋" w:hAnsi="仿宋" w:eastAsia="仿宋" w:cs="仿宋"/>
          <w:color w:val="000000" w:themeColor="text1"/>
          <w:sz w:val="30"/>
          <w:szCs w:val="30"/>
          <w:highlight w:val="none"/>
        </w:rPr>
        <w:t xml:space="preserve"> 附件—磋商响应文件格式</w:t>
      </w:r>
      <w:bookmarkEnd w:id="114"/>
      <w:bookmarkEnd w:id="124"/>
    </w:p>
    <w:p>
      <w:pPr>
        <w:rPr>
          <w:rFonts w:hint="eastAsia" w:ascii="仿宋" w:hAnsi="仿宋" w:eastAsia="仿宋" w:cs="仿宋"/>
          <w:color w:val="000000" w:themeColor="text1"/>
          <w:highlight w:val="none"/>
        </w:rPr>
      </w:pPr>
    </w:p>
    <w:bookmarkEnd w:id="115"/>
    <w:bookmarkEnd w:id="116"/>
    <w:bookmarkEnd w:id="117"/>
    <w:bookmarkEnd w:id="118"/>
    <w:bookmarkEnd w:id="119"/>
    <w:bookmarkEnd w:id="120"/>
    <w:bookmarkEnd w:id="121"/>
    <w:p>
      <w:pPr>
        <w:jc w:val="center"/>
        <w:rPr>
          <w:rFonts w:hint="eastAsia" w:ascii="仿宋" w:hAnsi="仿宋" w:eastAsia="仿宋" w:cs="仿宋"/>
          <w:b/>
          <w:color w:val="000000" w:themeColor="text1"/>
          <w:kern w:val="0"/>
          <w:sz w:val="30"/>
          <w:szCs w:val="30"/>
          <w:highlight w:val="none"/>
          <w:bdr w:val="single" w:color="auto" w:sz="4" w:space="0"/>
        </w:rPr>
      </w:pPr>
      <w:bookmarkStart w:id="125" w:name="_Toc30434"/>
      <w:bookmarkStart w:id="126" w:name="_Toc246928961"/>
      <w:bookmarkStart w:id="127" w:name="_Toc128557264"/>
      <w:bookmarkStart w:id="128" w:name="_Toc246928962"/>
      <w:bookmarkStart w:id="129" w:name="_Toc497711589"/>
      <w:bookmarkStart w:id="130" w:name="_Toc389620244"/>
      <w:bookmarkStart w:id="131" w:name="_Toc497551824"/>
      <w:bookmarkStart w:id="132" w:name="_Toc497712137"/>
      <w:bookmarkStart w:id="133" w:name="_Toc497546922"/>
      <w:bookmarkStart w:id="134" w:name="_Toc492955463"/>
      <w:bookmarkStart w:id="135" w:name="_Toc385992404"/>
      <w:r>
        <w:rPr>
          <w:rFonts w:hint="eastAsia" w:ascii="仿宋" w:hAnsi="仿宋" w:eastAsia="仿宋" w:cs="仿宋"/>
          <w:b/>
          <w:color w:val="000000" w:themeColor="text1"/>
          <w:sz w:val="30"/>
          <w:szCs w:val="30"/>
          <w:highlight w:val="none"/>
        </w:rPr>
        <w:t xml:space="preserve">                             （封面</w:t>
      </w:r>
      <w:bookmarkEnd w:id="125"/>
      <w:r>
        <w:rPr>
          <w:rFonts w:hint="eastAsia" w:ascii="仿宋" w:hAnsi="仿宋" w:eastAsia="仿宋" w:cs="仿宋"/>
          <w:b/>
          <w:color w:val="000000" w:themeColor="text1"/>
          <w:sz w:val="30"/>
          <w:szCs w:val="30"/>
          <w:highlight w:val="none"/>
        </w:rPr>
        <w:t xml:space="preserve">）                </w:t>
      </w:r>
      <w:r>
        <w:rPr>
          <w:rFonts w:hint="eastAsia" w:ascii="仿宋" w:hAnsi="仿宋" w:eastAsia="仿宋" w:cs="仿宋"/>
          <w:b/>
          <w:color w:val="000000" w:themeColor="text1"/>
          <w:kern w:val="0"/>
          <w:sz w:val="30"/>
          <w:szCs w:val="30"/>
          <w:highlight w:val="none"/>
          <w:bdr w:val="single" w:color="auto" w:sz="4" w:space="0"/>
        </w:rPr>
        <w:t>正/副本</w:t>
      </w:r>
    </w:p>
    <w:p>
      <w:pPr>
        <w:jc w:val="center"/>
        <w:rPr>
          <w:rFonts w:hint="eastAsia" w:ascii="仿宋" w:hAnsi="仿宋" w:eastAsia="仿宋" w:cs="仿宋"/>
          <w:b/>
          <w:color w:val="000000" w:themeColor="text1"/>
          <w:sz w:val="44"/>
          <w:szCs w:val="44"/>
          <w:highlight w:val="none"/>
        </w:rPr>
      </w:pPr>
    </w:p>
    <w:p>
      <w:pPr>
        <w:rPr>
          <w:rFonts w:hint="eastAsia" w:ascii="仿宋" w:hAnsi="仿宋" w:eastAsia="仿宋" w:cs="仿宋"/>
          <w:b/>
          <w:color w:val="000000" w:themeColor="text1"/>
          <w:sz w:val="44"/>
          <w:szCs w:val="44"/>
          <w:highlight w:val="none"/>
        </w:rPr>
      </w:pPr>
    </w:p>
    <w:p>
      <w:pPr>
        <w:rPr>
          <w:rFonts w:hint="eastAsia" w:ascii="仿宋" w:hAnsi="仿宋" w:eastAsia="仿宋" w:cs="仿宋"/>
          <w:b/>
          <w:color w:val="000000" w:themeColor="text1"/>
          <w:sz w:val="44"/>
          <w:szCs w:val="44"/>
          <w:highlight w:val="none"/>
        </w:rPr>
      </w:pPr>
    </w:p>
    <w:p>
      <w:pPr>
        <w:spacing w:line="700" w:lineRule="exact"/>
        <w:jc w:val="center"/>
        <w:rPr>
          <w:rFonts w:hint="eastAsia" w:ascii="仿宋" w:hAnsi="仿宋" w:eastAsia="仿宋" w:cs="仿宋"/>
          <w:b/>
          <w:color w:val="000000" w:themeColor="text1"/>
          <w:kern w:val="0"/>
          <w:sz w:val="40"/>
          <w:szCs w:val="52"/>
          <w:highlight w:val="none"/>
        </w:rPr>
      </w:pPr>
      <w:r>
        <w:rPr>
          <w:rFonts w:hint="eastAsia" w:ascii="仿宋" w:hAnsi="仿宋" w:eastAsia="仿宋" w:cs="仿宋"/>
          <w:b/>
          <w:color w:val="000000" w:themeColor="text1"/>
          <w:kern w:val="0"/>
          <w:sz w:val="40"/>
          <w:szCs w:val="52"/>
          <w:highlight w:val="none"/>
          <w:lang w:eastAsia="zh-CN"/>
        </w:rPr>
        <w:t>陕西省汉中监狱无人机防御系统采购项目</w:t>
      </w:r>
    </w:p>
    <w:p>
      <w:pPr>
        <w:spacing w:line="700" w:lineRule="exact"/>
        <w:jc w:val="center"/>
        <w:rPr>
          <w:rFonts w:hint="eastAsia" w:ascii="仿宋" w:hAnsi="仿宋" w:eastAsia="仿宋" w:cs="仿宋"/>
          <w:b/>
          <w:color w:val="000000" w:themeColor="text1"/>
          <w:kern w:val="0"/>
          <w:sz w:val="40"/>
          <w:szCs w:val="52"/>
          <w:highlight w:val="none"/>
        </w:rPr>
      </w:pPr>
    </w:p>
    <w:p>
      <w:pPr>
        <w:spacing w:line="700" w:lineRule="exact"/>
        <w:jc w:val="center"/>
        <w:rPr>
          <w:rFonts w:hint="eastAsia" w:ascii="仿宋" w:hAnsi="仿宋" w:eastAsia="仿宋" w:cs="仿宋"/>
          <w:b/>
          <w:color w:val="000000" w:themeColor="text1"/>
          <w:kern w:val="0"/>
          <w:sz w:val="40"/>
          <w:szCs w:val="52"/>
          <w:highlight w:val="none"/>
        </w:rPr>
      </w:pPr>
    </w:p>
    <w:p>
      <w:pPr>
        <w:spacing w:line="700" w:lineRule="exact"/>
        <w:jc w:val="center"/>
        <w:rPr>
          <w:rFonts w:hint="eastAsia" w:ascii="仿宋" w:hAnsi="仿宋" w:eastAsia="仿宋" w:cs="仿宋"/>
          <w:b/>
          <w:color w:val="000000" w:themeColor="text1"/>
          <w:sz w:val="64"/>
          <w:szCs w:val="64"/>
          <w:highlight w:val="none"/>
        </w:rPr>
      </w:pPr>
      <w:r>
        <w:rPr>
          <w:rFonts w:hint="eastAsia" w:ascii="仿宋" w:hAnsi="仿宋" w:eastAsia="仿宋" w:cs="仿宋"/>
          <w:b/>
          <w:color w:val="000000" w:themeColor="text1"/>
          <w:sz w:val="64"/>
          <w:szCs w:val="64"/>
          <w:highlight w:val="none"/>
        </w:rPr>
        <w:t xml:space="preserve">磋商响应文件 </w:t>
      </w:r>
    </w:p>
    <w:p>
      <w:pPr>
        <w:rPr>
          <w:rFonts w:hint="eastAsia" w:ascii="仿宋" w:hAnsi="仿宋" w:eastAsia="仿宋" w:cs="仿宋"/>
          <w:b/>
          <w:color w:val="000000" w:themeColor="text1"/>
          <w:sz w:val="32"/>
          <w:highlight w:val="none"/>
        </w:rPr>
      </w:pPr>
    </w:p>
    <w:p>
      <w:pPr>
        <w:jc w:val="center"/>
        <w:rPr>
          <w:rFonts w:hint="eastAsia" w:ascii="仿宋" w:hAnsi="仿宋" w:eastAsia="仿宋" w:cs="仿宋"/>
          <w:b/>
          <w:color w:val="000000" w:themeColor="text1"/>
          <w:sz w:val="28"/>
          <w:szCs w:val="28"/>
          <w:highlight w:val="none"/>
          <w:u w:val="single"/>
        </w:rPr>
      </w:pPr>
      <w:r>
        <w:rPr>
          <w:rFonts w:hint="eastAsia" w:ascii="仿宋" w:hAnsi="仿宋" w:eastAsia="仿宋" w:cs="仿宋"/>
          <w:b/>
          <w:color w:val="000000" w:themeColor="text1"/>
          <w:sz w:val="28"/>
          <w:szCs w:val="28"/>
          <w:highlight w:val="none"/>
        </w:rPr>
        <w:t>采购项目编号：</w:t>
      </w:r>
    </w:p>
    <w:p>
      <w:pPr>
        <w:rPr>
          <w:rFonts w:hint="eastAsia" w:ascii="仿宋" w:hAnsi="仿宋" w:eastAsia="仿宋" w:cs="仿宋"/>
          <w:b/>
          <w:color w:val="000000" w:themeColor="text1"/>
          <w:sz w:val="52"/>
          <w:highlight w:val="none"/>
        </w:rPr>
      </w:pPr>
    </w:p>
    <w:p>
      <w:pPr>
        <w:rPr>
          <w:rFonts w:hint="eastAsia" w:ascii="仿宋" w:hAnsi="仿宋" w:eastAsia="仿宋" w:cs="仿宋"/>
          <w:b/>
          <w:color w:val="000000" w:themeColor="text1"/>
          <w:sz w:val="52"/>
          <w:highlight w:val="none"/>
        </w:rPr>
      </w:pPr>
    </w:p>
    <w:p>
      <w:pPr>
        <w:jc w:val="center"/>
        <w:rPr>
          <w:rFonts w:hint="eastAsia" w:ascii="仿宋" w:hAnsi="仿宋" w:eastAsia="仿宋" w:cs="仿宋"/>
          <w:b/>
          <w:color w:val="000000" w:themeColor="text1"/>
          <w:sz w:val="52"/>
          <w:highlight w:val="none"/>
        </w:rPr>
      </w:pPr>
    </w:p>
    <w:p>
      <w:pPr>
        <w:rPr>
          <w:rFonts w:hint="eastAsia" w:ascii="仿宋" w:hAnsi="仿宋" w:eastAsia="仿宋" w:cs="仿宋"/>
          <w:b/>
          <w:color w:val="000000" w:themeColor="text1"/>
          <w:sz w:val="32"/>
          <w:highlight w:val="none"/>
        </w:rPr>
      </w:pPr>
    </w:p>
    <w:p>
      <w:pPr>
        <w:rPr>
          <w:rFonts w:hint="eastAsia" w:ascii="仿宋" w:hAnsi="仿宋" w:eastAsia="仿宋" w:cs="仿宋"/>
          <w:b/>
          <w:color w:val="000000" w:themeColor="text1"/>
          <w:sz w:val="32"/>
          <w:highlight w:val="none"/>
        </w:rPr>
      </w:pPr>
    </w:p>
    <w:p>
      <w:pPr>
        <w:spacing w:line="360" w:lineRule="auto"/>
        <w:ind w:firstLine="1265" w:firstLineChars="450"/>
        <w:rPr>
          <w:rFonts w:hint="eastAsia" w:ascii="仿宋" w:hAnsi="仿宋" w:eastAsia="仿宋" w:cs="仿宋"/>
          <w:b/>
          <w:color w:val="000000" w:themeColor="text1"/>
          <w:sz w:val="28"/>
          <w:highlight w:val="none"/>
        </w:rPr>
      </w:pPr>
    </w:p>
    <w:p>
      <w:pPr>
        <w:spacing w:line="800" w:lineRule="exact"/>
        <w:ind w:firstLine="422" w:firstLineChars="150"/>
        <w:rPr>
          <w:rFonts w:hint="eastAsia" w:ascii="仿宋" w:hAnsi="仿宋" w:eastAsia="仿宋" w:cs="仿宋"/>
          <w:b/>
          <w:color w:val="000000" w:themeColor="text1"/>
          <w:sz w:val="28"/>
          <w:szCs w:val="22"/>
          <w:highlight w:val="none"/>
        </w:rPr>
      </w:pPr>
      <w:r>
        <w:rPr>
          <w:rFonts w:hint="eastAsia" w:ascii="仿宋" w:hAnsi="仿宋" w:eastAsia="仿宋" w:cs="仿宋"/>
          <w:b/>
          <w:color w:val="000000" w:themeColor="text1"/>
          <w:sz w:val="28"/>
          <w:highlight w:val="none"/>
        </w:rPr>
        <w:t xml:space="preserve">  供       应       商：</w:t>
      </w:r>
      <w:r>
        <w:rPr>
          <w:rFonts w:hint="eastAsia" w:ascii="仿宋" w:hAnsi="仿宋" w:eastAsia="仿宋" w:cs="仿宋"/>
          <w:b/>
          <w:color w:val="000000" w:themeColor="text1"/>
          <w:sz w:val="28"/>
          <w:szCs w:val="22"/>
          <w:highlight w:val="none"/>
          <w:u w:val="single"/>
        </w:rPr>
        <w:t xml:space="preserve">               </w:t>
      </w:r>
      <w:r>
        <w:rPr>
          <w:rFonts w:hint="eastAsia" w:ascii="仿宋" w:hAnsi="仿宋" w:eastAsia="仿宋" w:cs="仿宋"/>
          <w:b/>
          <w:color w:val="000000" w:themeColor="text1"/>
          <w:sz w:val="28"/>
          <w:szCs w:val="22"/>
          <w:highlight w:val="none"/>
        </w:rPr>
        <w:t>（公章）</w:t>
      </w:r>
    </w:p>
    <w:p>
      <w:pPr>
        <w:spacing w:line="800" w:lineRule="exact"/>
        <w:ind w:firstLine="422" w:firstLineChars="150"/>
        <w:rPr>
          <w:rFonts w:hint="eastAsia" w:ascii="仿宋" w:hAnsi="仿宋" w:eastAsia="仿宋" w:cs="仿宋"/>
          <w:b/>
          <w:color w:val="000000" w:themeColor="text1"/>
          <w:sz w:val="28"/>
          <w:szCs w:val="22"/>
          <w:highlight w:val="none"/>
        </w:rPr>
      </w:pPr>
      <w:r>
        <w:rPr>
          <w:rFonts w:hint="eastAsia" w:ascii="仿宋" w:hAnsi="仿宋" w:eastAsia="仿宋" w:cs="仿宋"/>
          <w:b/>
          <w:color w:val="000000" w:themeColor="text1"/>
          <w:sz w:val="28"/>
          <w:szCs w:val="22"/>
          <w:highlight w:val="none"/>
        </w:rPr>
        <w:t xml:space="preserve">  法定代表人或授权代表：</w:t>
      </w:r>
      <w:r>
        <w:rPr>
          <w:rFonts w:hint="eastAsia" w:ascii="仿宋" w:hAnsi="仿宋" w:eastAsia="仿宋" w:cs="仿宋"/>
          <w:b/>
          <w:color w:val="000000" w:themeColor="text1"/>
          <w:sz w:val="28"/>
          <w:szCs w:val="22"/>
          <w:highlight w:val="none"/>
          <w:u w:val="single"/>
        </w:rPr>
        <w:t xml:space="preserve">         </w:t>
      </w:r>
      <w:r>
        <w:rPr>
          <w:rFonts w:hint="eastAsia" w:ascii="仿宋" w:hAnsi="仿宋" w:eastAsia="仿宋" w:cs="仿宋"/>
          <w:b/>
          <w:color w:val="000000" w:themeColor="text1"/>
          <w:sz w:val="28"/>
          <w:szCs w:val="22"/>
          <w:highlight w:val="none"/>
        </w:rPr>
        <w:t xml:space="preserve">（签字或盖章）      </w:t>
      </w:r>
    </w:p>
    <w:p>
      <w:pPr>
        <w:spacing w:line="800" w:lineRule="exact"/>
        <w:ind w:firstLine="703" w:firstLineChars="250"/>
        <w:rPr>
          <w:rFonts w:hint="eastAsia" w:ascii="仿宋" w:hAnsi="仿宋" w:eastAsia="仿宋" w:cs="仿宋"/>
          <w:color w:val="000000" w:themeColor="text1"/>
          <w:highlight w:val="none"/>
        </w:rPr>
      </w:pPr>
      <w:r>
        <w:rPr>
          <w:rFonts w:hint="eastAsia" w:ascii="仿宋" w:hAnsi="仿宋" w:eastAsia="仿宋" w:cs="仿宋"/>
          <w:b/>
          <w:color w:val="000000" w:themeColor="text1"/>
          <w:sz w:val="28"/>
          <w:highlight w:val="none"/>
        </w:rPr>
        <w:t>日                期：</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b/>
          <w:color w:val="000000" w:themeColor="text1"/>
          <w:sz w:val="28"/>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b/>
          <w:color w:val="000000" w:themeColor="text1"/>
          <w:sz w:val="28"/>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b/>
          <w:color w:val="000000" w:themeColor="text1"/>
          <w:sz w:val="28"/>
          <w:highlight w:val="none"/>
        </w:rPr>
        <w:t>日</w:t>
      </w:r>
    </w:p>
    <w:p>
      <w:pPr>
        <w:pStyle w:val="4"/>
        <w:spacing w:line="800" w:lineRule="exact"/>
        <w:rPr>
          <w:rFonts w:hint="eastAsia" w:ascii="仿宋" w:hAnsi="仿宋" w:eastAsia="仿宋" w:cs="仿宋"/>
          <w:color w:val="000000" w:themeColor="text1"/>
          <w:highlight w:val="none"/>
        </w:rPr>
        <w:sectPr>
          <w:footerReference r:id="rId13" w:type="even"/>
          <w:footnotePr>
            <w:pos w:val="beneathText"/>
          </w:footnotePr>
          <w:pgSz w:w="11906" w:h="16838"/>
          <w:pgMar w:top="1417" w:right="1417" w:bottom="1417" w:left="1417" w:header="851" w:footer="720" w:gutter="0"/>
          <w:pgBorders>
            <w:top w:val="none" w:sz="0" w:space="0"/>
            <w:left w:val="none" w:sz="0" w:space="0"/>
            <w:bottom w:val="none" w:sz="0" w:space="0"/>
            <w:right w:val="none" w:sz="0" w:space="0"/>
          </w:pgBorders>
          <w:pgNumType w:fmt="decimal"/>
          <w:cols w:space="720" w:num="1"/>
          <w:titlePg/>
          <w:docGrid w:linePitch="312" w:charSpace="0"/>
        </w:sectPr>
      </w:pPr>
      <w:bookmarkStart w:id="136" w:name="_Toc21305"/>
      <w:bookmarkStart w:id="137" w:name="_Toc357087380"/>
    </w:p>
    <w:p>
      <w:pPr>
        <w:pStyle w:val="4"/>
        <w:ind w:right="640"/>
        <w:jc w:val="center"/>
        <w:rPr>
          <w:rFonts w:hint="eastAsia" w:ascii="仿宋" w:hAnsi="仿宋" w:eastAsia="仿宋" w:cs="仿宋"/>
          <w:color w:val="000000" w:themeColor="text1"/>
          <w:sz w:val="30"/>
          <w:szCs w:val="30"/>
          <w:highlight w:val="none"/>
        </w:rPr>
      </w:pPr>
      <w:bookmarkStart w:id="138" w:name="_Toc15488"/>
      <w:bookmarkStart w:id="139" w:name="_Toc7682"/>
      <w:bookmarkStart w:id="140" w:name="_Toc11365"/>
      <w:bookmarkStart w:id="141" w:name="_Toc28703"/>
      <w:r>
        <w:rPr>
          <w:rFonts w:hint="eastAsia" w:ascii="仿宋" w:hAnsi="仿宋" w:eastAsia="仿宋" w:cs="仿宋"/>
          <w:color w:val="000000" w:themeColor="text1"/>
          <w:sz w:val="30"/>
          <w:szCs w:val="30"/>
          <w:highlight w:val="none"/>
        </w:rPr>
        <w:t>附件</w:t>
      </w:r>
      <w:bookmarkStart w:id="142" w:name="_Hlt491765542"/>
      <w:bookmarkEnd w:id="142"/>
      <w:r>
        <w:rPr>
          <w:rFonts w:hint="eastAsia" w:ascii="仿宋" w:hAnsi="仿宋" w:eastAsia="仿宋" w:cs="仿宋"/>
          <w:color w:val="000000" w:themeColor="text1"/>
          <w:sz w:val="30"/>
          <w:szCs w:val="30"/>
          <w:highlight w:val="none"/>
        </w:rPr>
        <w:t xml:space="preserve">1  </w:t>
      </w:r>
      <w:bookmarkEnd w:id="126"/>
      <w:bookmarkEnd w:id="136"/>
      <w:bookmarkEnd w:id="137"/>
      <w:r>
        <w:rPr>
          <w:rFonts w:hint="eastAsia" w:ascii="仿宋" w:hAnsi="仿宋" w:eastAsia="仿宋" w:cs="仿宋"/>
          <w:color w:val="000000" w:themeColor="text1"/>
          <w:sz w:val="30"/>
          <w:szCs w:val="30"/>
          <w:highlight w:val="none"/>
        </w:rPr>
        <w:t>磋商响应函</w:t>
      </w:r>
      <w:bookmarkEnd w:id="138"/>
      <w:bookmarkEnd w:id="139"/>
      <w:bookmarkEnd w:id="140"/>
      <w:bookmarkEnd w:id="141"/>
    </w:p>
    <w:p>
      <w:pPr>
        <w:spacing w:line="400" w:lineRule="atLeas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致：</w:t>
      </w:r>
      <w:r>
        <w:rPr>
          <w:rFonts w:hint="eastAsia" w:ascii="仿宋" w:hAnsi="仿宋" w:eastAsia="仿宋" w:cs="仿宋"/>
          <w:color w:val="000000" w:themeColor="text1"/>
          <w:sz w:val="24"/>
          <w:highlight w:val="none"/>
          <w:u w:val="single"/>
        </w:rPr>
        <w:t>（采购人名称）</w:t>
      </w:r>
    </w:p>
    <w:p>
      <w:pPr>
        <w:spacing w:line="360" w:lineRule="auto"/>
        <w:rPr>
          <w:rFonts w:hint="eastAsia" w:ascii="仿宋" w:hAnsi="仿宋" w:eastAsia="仿宋" w:cs="仿宋"/>
          <w:color w:val="000000" w:themeColor="text1"/>
          <w:sz w:val="24"/>
          <w:highlight w:val="none"/>
        </w:rPr>
      </w:pPr>
    </w:p>
    <w:p>
      <w:pPr>
        <w:spacing w:line="360" w:lineRule="auto"/>
        <w:ind w:firstLine="540" w:firstLineChars="225"/>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根据贵方为</w:t>
      </w:r>
      <w:r>
        <w:rPr>
          <w:rFonts w:hint="eastAsia" w:ascii="仿宋" w:hAnsi="仿宋" w:eastAsia="仿宋" w:cs="仿宋"/>
          <w:color w:val="000000" w:themeColor="text1"/>
          <w:sz w:val="24"/>
          <w:highlight w:val="none"/>
          <w:u w:val="single"/>
        </w:rPr>
        <w:t xml:space="preserve">采购项目名称、采购项目编号  </w:t>
      </w:r>
      <w:r>
        <w:rPr>
          <w:rFonts w:hint="eastAsia" w:ascii="仿宋" w:hAnsi="仿宋" w:eastAsia="仿宋" w:cs="仿宋"/>
          <w:color w:val="000000" w:themeColor="text1"/>
          <w:sz w:val="24"/>
          <w:highlight w:val="none"/>
        </w:rPr>
        <w:t>的竞争性磋商文件，签字代表</w:t>
      </w:r>
      <w:r>
        <w:rPr>
          <w:rFonts w:hint="eastAsia" w:ascii="仿宋" w:hAnsi="仿宋" w:eastAsia="仿宋" w:cs="仿宋"/>
          <w:color w:val="000000" w:themeColor="text1"/>
          <w:sz w:val="24"/>
          <w:highlight w:val="none"/>
          <w:u w:val="single"/>
        </w:rPr>
        <w:t xml:space="preserve">  (全名、职务)</w:t>
      </w:r>
      <w:r>
        <w:rPr>
          <w:rFonts w:hint="eastAsia" w:ascii="仿宋" w:hAnsi="仿宋" w:eastAsia="仿宋" w:cs="仿宋"/>
          <w:color w:val="000000" w:themeColor="text1"/>
          <w:sz w:val="24"/>
          <w:highlight w:val="none"/>
        </w:rPr>
        <w:t>经正式授权并代表</w:t>
      </w:r>
      <w:r>
        <w:rPr>
          <w:rFonts w:hint="eastAsia" w:ascii="仿宋" w:hAnsi="仿宋" w:eastAsia="仿宋" w:cs="仿宋"/>
          <w:color w:val="000000" w:themeColor="text1"/>
          <w:sz w:val="24"/>
          <w:highlight w:val="none"/>
          <w:u w:val="single"/>
        </w:rPr>
        <w:t xml:space="preserve"> (供应商名称、地址）</w:t>
      </w:r>
      <w:r>
        <w:rPr>
          <w:rFonts w:hint="eastAsia" w:ascii="仿宋" w:hAnsi="仿宋" w:eastAsia="仿宋" w:cs="仿宋"/>
          <w:color w:val="000000" w:themeColor="text1"/>
          <w:sz w:val="24"/>
          <w:highlight w:val="none"/>
        </w:rPr>
        <w:t>提交包含下述内容的磋商响应文件正本壹份、副本壹式贰份。</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(1) 磋商响应函；</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(2) 磋商报价表；</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(3) 按磋商须知要求提供的全部文件和磋商文件要求的响应文件；</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(4) 供应商资格证明文件；</w:t>
      </w:r>
    </w:p>
    <w:p>
      <w:pPr>
        <w:spacing w:line="360" w:lineRule="auto"/>
        <w:ind w:firstLine="48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 已交纳磋商保证金，金额为</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ab/>
      </w:r>
      <w:r>
        <w:rPr>
          <w:rFonts w:hint="eastAsia" w:ascii="仿宋" w:hAnsi="仿宋" w:eastAsia="仿宋" w:cs="仿宋"/>
          <w:color w:val="000000" w:themeColor="text1"/>
          <w:sz w:val="24"/>
          <w:highlight w:val="none"/>
        </w:rPr>
        <w:t>据此函，签字代表宣布同意如下：</w:t>
      </w:r>
    </w:p>
    <w:p>
      <w:pPr>
        <w:spacing w:line="360" w:lineRule="auto"/>
        <w:ind w:firstLine="42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1、供应商将按磋商文件的规定履行合同责任和义务;</w:t>
      </w:r>
    </w:p>
    <w:p>
      <w:pPr>
        <w:spacing w:line="360" w:lineRule="auto"/>
        <w:ind w:firstLine="42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 供应商已详细审查全部磋商文件，包括修改文件（如有的话）以及全部参考资料和有关附件。我们完全理解并同意放弃对这方面有不明及误解的权利；</w:t>
      </w:r>
    </w:p>
    <w:p>
      <w:pPr>
        <w:spacing w:line="360" w:lineRule="auto"/>
        <w:ind w:firstLine="42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 磋商报价自磋商响应文件截止之日起有效期为</w:t>
      </w:r>
      <w:r>
        <w:rPr>
          <w:rFonts w:hint="eastAsia" w:ascii="仿宋" w:hAnsi="仿宋" w:eastAsia="仿宋" w:cs="仿宋"/>
          <w:color w:val="000000" w:themeColor="text1"/>
          <w:sz w:val="24"/>
          <w:highlight w:val="none"/>
          <w:u w:val="single"/>
        </w:rPr>
        <w:t>90</w:t>
      </w:r>
      <w:r>
        <w:rPr>
          <w:rFonts w:hint="eastAsia" w:ascii="仿宋" w:hAnsi="仿宋" w:eastAsia="仿宋" w:cs="仿宋"/>
          <w:color w:val="000000" w:themeColor="text1"/>
          <w:sz w:val="24"/>
          <w:highlight w:val="none"/>
        </w:rPr>
        <w:t>个日历天；</w:t>
      </w:r>
    </w:p>
    <w:p>
      <w:pPr>
        <w:spacing w:line="360" w:lineRule="auto"/>
        <w:ind w:firstLine="42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 如果在规定的记录磋商报价时间后，供应商在磋商有效期内撤回磋商报价；或成交后未按磋商文件中磋商须知规定的向采购代理机构交纳足额的招标代理服务费，其磋商保证金将被贵方没收；</w:t>
      </w:r>
    </w:p>
    <w:p>
      <w:pPr>
        <w:spacing w:line="360" w:lineRule="auto"/>
        <w:ind w:firstLine="42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 与本磋商有关的一切正式往来通讯请寄：</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ab/>
      </w:r>
      <w:r>
        <w:rPr>
          <w:rFonts w:hint="eastAsia" w:ascii="仿宋" w:hAnsi="仿宋" w:eastAsia="仿宋" w:cs="仿宋"/>
          <w:color w:val="000000" w:themeColor="text1"/>
          <w:sz w:val="24"/>
          <w:highlight w:val="none"/>
        </w:rPr>
        <w:t>地址：    邮编：</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ab/>
      </w:r>
      <w:r>
        <w:rPr>
          <w:rFonts w:hint="eastAsia" w:ascii="仿宋" w:hAnsi="仿宋" w:eastAsia="仿宋" w:cs="仿宋"/>
          <w:color w:val="000000" w:themeColor="text1"/>
          <w:sz w:val="24"/>
          <w:highlight w:val="none"/>
        </w:rPr>
        <w:t xml:space="preserve">电话：    传真： </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ab/>
      </w:r>
      <w:r>
        <w:rPr>
          <w:rFonts w:hint="eastAsia" w:ascii="仿宋" w:hAnsi="仿宋" w:eastAsia="仿宋" w:cs="仿宋"/>
          <w:color w:val="000000" w:themeColor="text1"/>
          <w:sz w:val="24"/>
          <w:highlight w:val="none"/>
        </w:rPr>
        <w:t>供应商代表姓名、职务（印刷体）：</w:t>
      </w:r>
      <w:r>
        <w:rPr>
          <w:rFonts w:hint="eastAsia" w:ascii="仿宋" w:hAnsi="仿宋" w:eastAsia="仿宋" w:cs="仿宋"/>
          <w:color w:val="000000" w:themeColor="text1"/>
          <w:sz w:val="24"/>
          <w:highlight w:val="none"/>
        </w:rPr>
        <w:br w:type="textWrapping"/>
      </w:r>
      <w:r>
        <w:rPr>
          <w:rFonts w:hint="eastAsia" w:ascii="仿宋" w:hAnsi="仿宋" w:eastAsia="仿宋" w:cs="仿宋"/>
          <w:color w:val="000000" w:themeColor="text1"/>
          <w:sz w:val="24"/>
          <w:highlight w:val="none"/>
        </w:rPr>
        <w:tab/>
      </w:r>
    </w:p>
    <w:p>
      <w:pPr>
        <w:spacing w:line="500" w:lineRule="exact"/>
        <w:ind w:firstLine="360" w:firstLineChars="15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供应商名称：</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firstLine="360" w:firstLineChars="150"/>
        <w:jc w:val="righ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360" w:firstLineChars="150"/>
        <w:jc w:val="center"/>
        <w:rPr>
          <w:rFonts w:hint="eastAsia" w:ascii="仿宋" w:hAnsi="仿宋" w:eastAsia="仿宋" w:cs="仿宋"/>
          <w:color w:val="000000" w:themeColor="text1"/>
          <w:highlight w:val="none"/>
        </w:rPr>
      </w:pPr>
      <w:r>
        <w:rPr>
          <w:rFonts w:hint="eastAsia" w:ascii="仿宋" w:hAnsi="仿宋" w:eastAsia="仿宋" w:cs="仿宋"/>
          <w:color w:val="000000" w:themeColor="text1"/>
          <w:sz w:val="24"/>
          <w:szCs w:val="24"/>
          <w:highlight w:val="none"/>
        </w:rPr>
        <w:t xml:space="preserve">                       </w:t>
      </w: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pStyle w:val="4"/>
        <w:adjustRightInd w:val="0"/>
        <w:spacing w:line="360" w:lineRule="auto"/>
        <w:textAlignment w:val="baseline"/>
        <w:rPr>
          <w:rFonts w:hint="eastAsia" w:ascii="仿宋" w:hAnsi="仿宋" w:eastAsia="仿宋" w:cs="仿宋"/>
          <w:color w:val="000000" w:themeColor="text1"/>
          <w:highlight w:val="none"/>
        </w:rPr>
        <w:sectPr>
          <w:footnotePr>
            <w:pos w:val="beneathText"/>
          </w:footnotePr>
          <w:pgSz w:w="11906" w:h="16838"/>
          <w:pgMar w:top="1417" w:right="1417" w:bottom="1417" w:left="1417" w:header="851" w:footer="720" w:gutter="0"/>
          <w:pgBorders>
            <w:top w:val="none" w:sz="0" w:space="0"/>
            <w:left w:val="none" w:sz="0" w:space="0"/>
            <w:bottom w:val="none" w:sz="0" w:space="0"/>
            <w:right w:val="none" w:sz="0" w:space="0"/>
          </w:pgBorders>
          <w:pgNumType w:fmt="decimal"/>
          <w:cols w:space="720" w:num="1"/>
          <w:titlePg/>
          <w:docGrid w:linePitch="312" w:charSpace="0"/>
        </w:sectPr>
      </w:pPr>
    </w:p>
    <w:p>
      <w:pPr>
        <w:pStyle w:val="4"/>
        <w:adjustRightInd w:val="0"/>
        <w:spacing w:line="360" w:lineRule="auto"/>
        <w:jc w:val="center"/>
        <w:textAlignment w:val="baseline"/>
        <w:rPr>
          <w:rFonts w:hint="eastAsia" w:ascii="仿宋" w:hAnsi="仿宋" w:eastAsia="仿宋" w:cs="仿宋"/>
          <w:color w:val="000000" w:themeColor="text1"/>
          <w:sz w:val="30"/>
          <w:szCs w:val="30"/>
          <w:highlight w:val="none"/>
        </w:rPr>
      </w:pPr>
      <w:bookmarkStart w:id="143" w:name="_Toc23172"/>
      <w:bookmarkStart w:id="144" w:name="_Toc28574"/>
      <w:bookmarkStart w:id="145" w:name="_Toc26553"/>
      <w:bookmarkStart w:id="146" w:name="_Toc6577"/>
      <w:r>
        <w:rPr>
          <w:rFonts w:hint="eastAsia" w:ascii="仿宋" w:hAnsi="仿宋" w:eastAsia="仿宋" w:cs="仿宋"/>
          <w:color w:val="000000" w:themeColor="text1"/>
          <w:sz w:val="30"/>
          <w:szCs w:val="30"/>
          <w:highlight w:val="none"/>
        </w:rPr>
        <w:t>附件2  磋商报价表</w:t>
      </w:r>
      <w:bookmarkEnd w:id="127"/>
      <w:bookmarkEnd w:id="128"/>
      <w:bookmarkEnd w:id="143"/>
      <w:bookmarkEnd w:id="144"/>
      <w:bookmarkEnd w:id="145"/>
      <w:bookmarkEnd w:id="146"/>
    </w:p>
    <w:p>
      <w:pPr>
        <w:rPr>
          <w:rFonts w:hint="eastAsia" w:ascii="仿宋" w:hAnsi="仿宋" w:eastAsia="仿宋" w:cs="仿宋"/>
          <w:color w:val="000000" w:themeColor="text1"/>
          <w:highlight w:val="none"/>
        </w:rPr>
      </w:pPr>
    </w:p>
    <w:p>
      <w:pPr>
        <w:jc w:val="center"/>
        <w:rPr>
          <w:rFonts w:hint="eastAsia" w:ascii="仿宋" w:hAnsi="仿宋" w:eastAsia="仿宋" w:cs="仿宋"/>
          <w:b/>
          <w:color w:val="000000" w:themeColor="text1"/>
          <w:highlight w:val="none"/>
        </w:rPr>
      </w:pPr>
      <w:r>
        <w:rPr>
          <w:rFonts w:hint="eastAsia" w:ascii="仿宋" w:hAnsi="仿宋" w:eastAsia="仿宋" w:cs="仿宋"/>
          <w:b/>
          <w:color w:val="000000" w:themeColor="text1"/>
          <w:highlight w:val="none"/>
        </w:rPr>
        <w:t>报价一览表</w:t>
      </w:r>
    </w:p>
    <w:p>
      <w:pPr>
        <w:rPr>
          <w:rFonts w:hint="eastAsia" w:ascii="仿宋" w:hAnsi="仿宋" w:eastAsia="仿宋" w:cs="仿宋"/>
          <w:color w:val="000000" w:themeColor="text1"/>
          <w:highlight w:val="none"/>
        </w:rPr>
      </w:pPr>
    </w:p>
    <w:bookmarkEnd w:id="129"/>
    <w:bookmarkEnd w:id="130"/>
    <w:bookmarkEnd w:id="131"/>
    <w:bookmarkEnd w:id="132"/>
    <w:bookmarkEnd w:id="133"/>
    <w:bookmarkEnd w:id="134"/>
    <w:bookmarkEnd w:id="135"/>
    <w:tbl>
      <w:tblPr>
        <w:tblStyle w:val="47"/>
        <w:tblW w:w="9074"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698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2093" w:type="dxa"/>
            <w:tcBorders>
              <w:bottom w:val="single" w:color="auto" w:sz="4" w:space="0"/>
            </w:tcBorders>
            <w:vAlign w:val="center"/>
          </w:tcPr>
          <w:p>
            <w:pPr>
              <w:spacing w:line="360" w:lineRule="auto"/>
              <w:jc w:val="center"/>
              <w:rPr>
                <w:rFonts w:hint="eastAsia" w:ascii="仿宋" w:hAnsi="仿宋" w:eastAsia="仿宋" w:cs="仿宋"/>
                <w:caps/>
                <w:color w:val="000000" w:themeColor="text1"/>
                <w:sz w:val="24"/>
                <w:szCs w:val="22"/>
                <w:highlight w:val="none"/>
              </w:rPr>
            </w:pPr>
            <w:bookmarkStart w:id="147" w:name="_Toc497546923"/>
            <w:bookmarkStart w:id="148" w:name="_Toc497551825"/>
            <w:bookmarkStart w:id="149" w:name="_Toc497711590"/>
            <w:bookmarkStart w:id="150" w:name="_Toc246928964"/>
            <w:bookmarkStart w:id="151" w:name="_Hlt491766443"/>
            <w:bookmarkStart w:id="152" w:name="_Toc385992405"/>
            <w:bookmarkStart w:id="153" w:name="_Toc497712138"/>
            <w:bookmarkStart w:id="154" w:name="_Toc389620245"/>
            <w:bookmarkStart w:id="155" w:name="_Toc492955464"/>
            <w:r>
              <w:rPr>
                <w:rFonts w:hint="eastAsia" w:ascii="仿宋" w:hAnsi="仿宋" w:eastAsia="仿宋" w:cs="仿宋"/>
                <w:color w:val="000000" w:themeColor="text1"/>
                <w:sz w:val="24"/>
                <w:szCs w:val="22"/>
                <w:highlight w:val="none"/>
              </w:rPr>
              <w:t>项目名称</w:t>
            </w:r>
          </w:p>
        </w:tc>
        <w:tc>
          <w:tcPr>
            <w:tcW w:w="6981" w:type="dxa"/>
            <w:vAlign w:val="center"/>
          </w:tcPr>
          <w:p>
            <w:pPr>
              <w:spacing w:line="360" w:lineRule="auto"/>
              <w:jc w:val="center"/>
              <w:rPr>
                <w:rFonts w:hint="eastAsia" w:ascii="仿宋" w:hAnsi="仿宋" w:eastAsia="仿宋" w:cs="仿宋"/>
                <w:caps/>
                <w:color w:val="000000" w:themeColor="text1"/>
                <w:sz w:val="24"/>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2093" w:type="dxa"/>
            <w:tcBorders>
              <w:bottom w:val="single" w:color="auto" w:sz="4" w:space="0"/>
            </w:tcBorders>
            <w:vAlign w:val="center"/>
          </w:tcPr>
          <w:p>
            <w:pPr>
              <w:spacing w:line="360" w:lineRule="auto"/>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采购项目编号</w:t>
            </w:r>
          </w:p>
        </w:tc>
        <w:tc>
          <w:tcPr>
            <w:tcW w:w="6981" w:type="dxa"/>
            <w:tcBorders>
              <w:bottom w:val="single" w:color="auto" w:sz="4" w:space="0"/>
            </w:tcBorders>
            <w:vAlign w:val="center"/>
          </w:tcPr>
          <w:p>
            <w:pPr>
              <w:spacing w:line="360" w:lineRule="auto"/>
              <w:jc w:val="center"/>
              <w:rPr>
                <w:rFonts w:hint="eastAsia" w:ascii="仿宋" w:hAnsi="仿宋" w:eastAsia="仿宋" w:cs="仿宋"/>
                <w:caps/>
                <w:color w:val="000000" w:themeColor="text1"/>
                <w:sz w:val="24"/>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39" w:hRule="atLeast"/>
          <w:jc w:val="center"/>
        </w:trPr>
        <w:tc>
          <w:tcPr>
            <w:tcW w:w="2093" w:type="dxa"/>
            <w:vAlign w:val="center"/>
          </w:tcPr>
          <w:p>
            <w:pPr>
              <w:spacing w:line="360" w:lineRule="auto"/>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总报价</w:t>
            </w:r>
          </w:p>
          <w:p>
            <w:pPr>
              <w:spacing w:line="360" w:lineRule="auto"/>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（总价）</w:t>
            </w:r>
          </w:p>
        </w:tc>
        <w:tc>
          <w:tcPr>
            <w:tcW w:w="6981" w:type="dxa"/>
            <w:vAlign w:val="center"/>
          </w:tcPr>
          <w:p>
            <w:pP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小写金额：￥</w:t>
            </w:r>
            <w:r>
              <w:rPr>
                <w:rFonts w:hint="eastAsia" w:ascii="仿宋" w:hAnsi="仿宋" w:eastAsia="仿宋" w:cs="仿宋"/>
                <w:color w:val="000000" w:themeColor="text1"/>
                <w:sz w:val="24"/>
                <w:szCs w:val="22"/>
                <w:highlight w:val="none"/>
                <w:u w:val="single"/>
              </w:rPr>
              <w:t xml:space="preserve">               </w:t>
            </w:r>
            <w:r>
              <w:rPr>
                <w:rFonts w:hint="eastAsia" w:ascii="仿宋" w:hAnsi="仿宋" w:eastAsia="仿宋" w:cs="仿宋"/>
                <w:color w:val="000000" w:themeColor="text1"/>
                <w:sz w:val="24"/>
                <w:szCs w:val="22"/>
                <w:highlight w:val="none"/>
              </w:rPr>
              <w:t>元</w:t>
            </w:r>
            <w:r>
              <w:rPr>
                <w:rFonts w:hint="eastAsia" w:ascii="仿宋" w:hAnsi="仿宋" w:eastAsia="仿宋" w:cs="仿宋"/>
                <w:color w:val="000000" w:themeColor="text1"/>
                <w:sz w:val="24"/>
                <w:szCs w:val="22"/>
                <w:highlight w:val="none"/>
                <w:u w:val="single"/>
              </w:rPr>
              <w:t xml:space="preserve">                  </w:t>
            </w:r>
          </w:p>
          <w:p>
            <w:pP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 xml:space="preserve"> </w:t>
            </w:r>
          </w:p>
          <w:p>
            <w:pPr>
              <w:rPr>
                <w:rFonts w:hint="eastAsia" w:ascii="仿宋" w:hAnsi="仿宋" w:eastAsia="仿宋" w:cs="仿宋"/>
                <w:color w:val="000000" w:themeColor="text1"/>
                <w:sz w:val="24"/>
                <w:szCs w:val="24"/>
                <w:highlight w:val="none"/>
                <w:u w:val="single"/>
              </w:rPr>
            </w:pPr>
            <w:r>
              <w:rPr>
                <w:rFonts w:hint="eastAsia" w:ascii="仿宋" w:hAnsi="仿宋" w:eastAsia="仿宋" w:cs="仿宋"/>
                <w:color w:val="000000" w:themeColor="text1"/>
                <w:sz w:val="24"/>
                <w:szCs w:val="22"/>
                <w:highlight w:val="none"/>
              </w:rPr>
              <w:t>大写金额（人民币）：_________</w:t>
            </w:r>
            <w:r>
              <w:rPr>
                <w:rFonts w:hint="eastAsia" w:ascii="仿宋" w:hAnsi="仿宋" w:eastAsia="仿宋" w:cs="仿宋"/>
                <w:color w:val="000000" w:themeColor="text1"/>
                <w:sz w:val="24"/>
                <w:szCs w:val="22"/>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2093" w:type="dxa"/>
            <w:vAlign w:val="center"/>
          </w:tcPr>
          <w:p>
            <w:pPr>
              <w:spacing w:line="360" w:lineRule="auto"/>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交货期</w:t>
            </w:r>
          </w:p>
        </w:tc>
        <w:tc>
          <w:tcPr>
            <w:tcW w:w="6981" w:type="dxa"/>
            <w:vAlign w:val="center"/>
          </w:tcPr>
          <w:p>
            <w:pPr>
              <w:spacing w:line="360" w:lineRule="auto"/>
              <w:rPr>
                <w:rFonts w:hint="eastAsia" w:ascii="仿宋" w:hAnsi="仿宋" w:eastAsia="仿宋" w:cs="仿宋"/>
                <w:color w:val="000000" w:themeColor="text1"/>
                <w:sz w:val="24"/>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2093" w:type="dxa"/>
            <w:vAlign w:val="center"/>
          </w:tcPr>
          <w:p>
            <w:pPr>
              <w:spacing w:line="360" w:lineRule="auto"/>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质保期</w:t>
            </w:r>
          </w:p>
        </w:tc>
        <w:tc>
          <w:tcPr>
            <w:tcW w:w="6981" w:type="dxa"/>
            <w:vAlign w:val="center"/>
          </w:tcPr>
          <w:p>
            <w:pPr>
              <w:spacing w:line="360" w:lineRule="auto"/>
              <w:rPr>
                <w:rFonts w:hint="eastAsia" w:ascii="仿宋" w:hAnsi="仿宋" w:eastAsia="仿宋" w:cs="仿宋"/>
                <w:color w:val="000000" w:themeColor="text1"/>
                <w:sz w:val="24"/>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9074" w:type="dxa"/>
            <w:gridSpan w:val="2"/>
            <w:vAlign w:val="center"/>
          </w:tcPr>
          <w:p>
            <w:pPr>
              <w:spacing w:line="360" w:lineRule="auto"/>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备注：表内报价内容以元为单位，保留到小数点后两位。</w:t>
            </w:r>
          </w:p>
        </w:tc>
      </w:tr>
    </w:tbl>
    <w:p>
      <w:pPr>
        <w:rPr>
          <w:rFonts w:hint="eastAsia" w:ascii="仿宋" w:hAnsi="仿宋" w:eastAsia="仿宋" w:cs="仿宋"/>
          <w:color w:val="000000" w:themeColor="text1"/>
          <w:highlight w:val="none"/>
        </w:rPr>
      </w:pPr>
    </w:p>
    <w:p>
      <w:pPr>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sz w:val="30"/>
          <w:highlight w:val="none"/>
        </w:rPr>
      </w:pPr>
    </w:p>
    <w:p>
      <w:pPr>
        <w:spacing w:line="480" w:lineRule="auto"/>
        <w:ind w:right="-161" w:firstLine="2640" w:firstLineChars="1100"/>
        <w:rPr>
          <w:rFonts w:hint="eastAsia" w:ascii="仿宋" w:hAnsi="仿宋" w:eastAsia="仿宋" w:cs="仿宋"/>
          <w:color w:val="000000" w:themeColor="text1"/>
          <w:sz w:val="24"/>
          <w:szCs w:val="24"/>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4200" w:firstLineChars="175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ind w:firstLine="2640" w:firstLineChars="1100"/>
        <w:rPr>
          <w:rFonts w:hint="eastAsia" w:ascii="仿宋" w:hAnsi="仿宋" w:eastAsia="仿宋" w:cs="仿宋"/>
          <w:color w:val="000000" w:themeColor="text1"/>
          <w:sz w:val="24"/>
          <w:highlight w:val="none"/>
        </w:rPr>
      </w:pPr>
    </w:p>
    <w:p>
      <w:pPr>
        <w:ind w:firstLine="2640" w:firstLineChars="1100"/>
        <w:rPr>
          <w:rFonts w:hint="eastAsia" w:ascii="仿宋" w:hAnsi="仿宋" w:eastAsia="仿宋" w:cs="仿宋"/>
          <w:color w:val="000000" w:themeColor="text1"/>
          <w:sz w:val="24"/>
          <w:highlight w:val="none"/>
        </w:rPr>
      </w:pPr>
    </w:p>
    <w:p>
      <w:pPr>
        <w:ind w:firstLine="2640" w:firstLineChars="1100"/>
        <w:rPr>
          <w:rFonts w:hint="eastAsia" w:ascii="仿宋" w:hAnsi="仿宋" w:eastAsia="仿宋" w:cs="仿宋"/>
          <w:color w:val="000000" w:themeColor="text1"/>
          <w:sz w:val="24"/>
          <w:highlight w:val="none"/>
        </w:rPr>
      </w:pPr>
    </w:p>
    <w:p>
      <w:pPr>
        <w:ind w:firstLine="2640" w:firstLineChars="1100"/>
        <w:rPr>
          <w:rFonts w:hint="eastAsia" w:ascii="仿宋" w:hAnsi="仿宋" w:eastAsia="仿宋" w:cs="仿宋"/>
          <w:color w:val="000000" w:themeColor="text1"/>
          <w:sz w:val="24"/>
          <w:highlight w:val="none"/>
        </w:rPr>
      </w:pPr>
    </w:p>
    <w:p>
      <w:pPr>
        <w:ind w:firstLine="2640" w:firstLineChars="1100"/>
        <w:rPr>
          <w:rFonts w:hint="eastAsia" w:ascii="仿宋" w:hAnsi="仿宋" w:eastAsia="仿宋" w:cs="仿宋"/>
          <w:color w:val="000000" w:themeColor="text1"/>
          <w:sz w:val="24"/>
          <w:highlight w:val="none"/>
        </w:rPr>
      </w:pPr>
    </w:p>
    <w:p>
      <w:pPr>
        <w:ind w:firstLine="2640" w:firstLineChars="1100"/>
        <w:rPr>
          <w:rFonts w:hint="eastAsia" w:ascii="仿宋" w:hAnsi="仿宋" w:eastAsia="仿宋" w:cs="仿宋"/>
          <w:color w:val="000000" w:themeColor="text1"/>
          <w:sz w:val="24"/>
          <w:highlight w:val="none"/>
        </w:rPr>
      </w:pPr>
    </w:p>
    <w:p>
      <w:pPr>
        <w:ind w:firstLine="2640" w:firstLineChars="1100"/>
        <w:rPr>
          <w:rFonts w:hint="eastAsia" w:ascii="仿宋" w:hAnsi="仿宋" w:eastAsia="仿宋" w:cs="仿宋"/>
          <w:color w:val="000000" w:themeColor="text1"/>
          <w:sz w:val="24"/>
          <w:highlight w:val="none"/>
        </w:rPr>
      </w:pPr>
    </w:p>
    <w:p>
      <w:pPr>
        <w:ind w:firstLine="2640" w:firstLineChars="1100"/>
        <w:rPr>
          <w:rFonts w:hint="eastAsia" w:ascii="仿宋" w:hAnsi="仿宋" w:eastAsia="仿宋" w:cs="仿宋"/>
          <w:color w:val="000000" w:themeColor="text1"/>
          <w:sz w:val="24"/>
          <w:highlight w:val="none"/>
        </w:rPr>
      </w:pPr>
    </w:p>
    <w:p>
      <w:pPr>
        <w:ind w:firstLine="2640" w:firstLineChars="1100"/>
        <w:rPr>
          <w:rFonts w:hint="eastAsia" w:ascii="仿宋" w:hAnsi="仿宋" w:eastAsia="仿宋" w:cs="仿宋"/>
          <w:color w:val="000000" w:themeColor="text1"/>
          <w:sz w:val="24"/>
          <w:highlight w:val="none"/>
        </w:rPr>
      </w:pPr>
    </w:p>
    <w:p>
      <w:pPr>
        <w:ind w:firstLine="2640" w:firstLineChars="1100"/>
        <w:rPr>
          <w:rFonts w:hint="eastAsia" w:ascii="仿宋" w:hAnsi="仿宋" w:eastAsia="仿宋" w:cs="仿宋"/>
          <w:color w:val="000000" w:themeColor="text1"/>
          <w:sz w:val="24"/>
          <w:highlight w:val="none"/>
        </w:rPr>
      </w:pPr>
    </w:p>
    <w:p>
      <w:pPr>
        <w:ind w:firstLine="2640" w:firstLineChars="1100"/>
        <w:rPr>
          <w:rFonts w:hint="eastAsia" w:ascii="仿宋" w:hAnsi="仿宋" w:eastAsia="仿宋" w:cs="仿宋"/>
          <w:color w:val="000000" w:themeColor="text1"/>
          <w:sz w:val="24"/>
          <w:highlight w:val="none"/>
        </w:rPr>
      </w:pPr>
    </w:p>
    <w:p>
      <w:pPr>
        <w:pStyle w:val="6"/>
        <w:rPr>
          <w:rFonts w:hint="eastAsia" w:ascii="仿宋" w:hAnsi="仿宋" w:eastAsia="仿宋" w:cs="仿宋"/>
          <w:color w:val="000000" w:themeColor="text1"/>
          <w:highlight w:val="none"/>
        </w:rPr>
      </w:pPr>
    </w:p>
    <w:p>
      <w:pPr>
        <w:ind w:firstLine="2640" w:firstLineChars="1100"/>
        <w:rPr>
          <w:rFonts w:hint="eastAsia" w:ascii="仿宋" w:hAnsi="仿宋" w:eastAsia="仿宋" w:cs="仿宋"/>
          <w:color w:val="000000" w:themeColor="text1"/>
          <w:sz w:val="24"/>
          <w:highlight w:val="none"/>
        </w:rPr>
      </w:pPr>
    </w:p>
    <w:p>
      <w:pPr>
        <w:pStyle w:val="41"/>
        <w:widowControl w:val="0"/>
        <w:spacing w:beforeAutospacing="0" w:afterAutospacing="0" w:line="324" w:lineRule="auto"/>
        <w:jc w:val="both"/>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附表1</w:t>
      </w:r>
    </w:p>
    <w:p>
      <w:pPr>
        <w:pStyle w:val="41"/>
        <w:widowControl w:val="0"/>
        <w:spacing w:beforeAutospacing="0" w:afterAutospacing="0" w:line="324" w:lineRule="auto"/>
        <w:jc w:val="center"/>
        <w:rPr>
          <w:rFonts w:hint="eastAsia" w:ascii="仿宋" w:hAnsi="仿宋" w:eastAsia="仿宋" w:cs="仿宋"/>
          <w:b/>
          <w:color w:val="000000" w:themeColor="text1"/>
          <w:sz w:val="32"/>
          <w:szCs w:val="21"/>
          <w:highlight w:val="none"/>
        </w:rPr>
      </w:pPr>
      <w:r>
        <w:rPr>
          <w:rFonts w:hint="eastAsia" w:ascii="仿宋" w:hAnsi="仿宋" w:eastAsia="仿宋" w:cs="仿宋"/>
          <w:b/>
          <w:color w:val="000000" w:themeColor="text1"/>
          <w:kern w:val="2"/>
          <w:sz w:val="32"/>
          <w:szCs w:val="21"/>
          <w:highlight w:val="none"/>
        </w:rPr>
        <w:t>分项报价表</w:t>
      </w:r>
    </w:p>
    <w:p>
      <w:pPr>
        <w:kinsoku w:val="0"/>
        <w:spacing w:line="50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项目名称：                                                 </w:t>
      </w:r>
    </w:p>
    <w:p>
      <w:pPr>
        <w:kinsoku w:val="0"/>
        <w:spacing w:line="50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供应商：                                                    共   页，第   页</w:t>
      </w:r>
    </w:p>
    <w:tbl>
      <w:tblPr>
        <w:tblStyle w:val="47"/>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87"/>
        <w:gridCol w:w="971"/>
        <w:gridCol w:w="1263"/>
        <w:gridCol w:w="1033"/>
        <w:gridCol w:w="1033"/>
        <w:gridCol w:w="1033"/>
        <w:gridCol w:w="79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序号</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设备名称</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品牌</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规格型号</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产地</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单位</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数量</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单价(元)</w:t>
            </w: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N</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 w:hAnsi="仿宋" w:eastAsia="仿宋" w:cs="仿宋"/>
                <w:color w:val="000000" w:themeColor="text1"/>
                <w:sz w:val="24"/>
                <w:szCs w:val="24"/>
                <w:highlight w:val="none"/>
              </w:rPr>
            </w:pP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35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pacing w:val="-6"/>
                <w:szCs w:val="24"/>
                <w:highlight w:val="none"/>
              </w:rPr>
            </w:pPr>
            <w:r>
              <w:rPr>
                <w:rFonts w:hint="eastAsia" w:ascii="仿宋" w:hAnsi="仿宋" w:eastAsia="仿宋" w:cs="仿宋"/>
                <w:color w:val="000000" w:themeColor="text1"/>
                <w:spacing w:val="-6"/>
                <w:kern w:val="2"/>
                <w:szCs w:val="24"/>
                <w:highlight w:val="none"/>
              </w:rPr>
              <w:t>总报价（人民币大写）：                                     （</w:t>
            </w:r>
            <w:r>
              <w:rPr>
                <w:rFonts w:hint="eastAsia" w:ascii="仿宋" w:hAnsi="仿宋" w:eastAsia="仿宋" w:cs="仿宋"/>
                <w:color w:val="000000" w:themeColor="text1"/>
                <w:kern w:val="2"/>
                <w:szCs w:val="21"/>
                <w:highlight w:val="none"/>
              </w:rPr>
              <w:t xml:space="preserve">¥        </w:t>
            </w:r>
            <w:r>
              <w:rPr>
                <w:rFonts w:hint="eastAsia" w:ascii="仿宋" w:hAnsi="仿宋" w:eastAsia="仿宋" w:cs="仿宋"/>
                <w:color w:val="000000" w:themeColor="text1"/>
                <w:spacing w:val="-6"/>
                <w:kern w:val="2"/>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35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pacing w:val="-6"/>
                <w:szCs w:val="24"/>
                <w:highlight w:val="none"/>
              </w:rPr>
            </w:pPr>
            <w:r>
              <w:rPr>
                <w:rFonts w:hint="eastAsia" w:ascii="仿宋" w:hAnsi="仿宋" w:eastAsia="仿宋" w:cs="仿宋"/>
                <w:color w:val="000000" w:themeColor="text1"/>
                <w:spacing w:val="-6"/>
                <w:kern w:val="2"/>
                <w:szCs w:val="24"/>
                <w:highlight w:val="none"/>
              </w:rPr>
              <w:t>备注：表内报价内容以元为单位。</w:t>
            </w:r>
          </w:p>
        </w:tc>
      </w:tr>
    </w:tbl>
    <w:p>
      <w:pPr>
        <w:widowControl/>
        <w:jc w:val="left"/>
        <w:rPr>
          <w:rFonts w:hint="eastAsia" w:ascii="仿宋" w:hAnsi="仿宋" w:eastAsia="仿宋" w:cs="仿宋"/>
          <w:color w:val="000000" w:themeColor="text1"/>
          <w:highlight w:val="none"/>
        </w:rPr>
      </w:pPr>
      <w:r>
        <w:rPr>
          <w:rFonts w:hint="eastAsia" w:ascii="仿宋" w:hAnsi="仿宋" w:eastAsia="仿宋" w:cs="仿宋"/>
          <w:color w:val="000000" w:themeColor="text1"/>
          <w:sz w:val="24"/>
          <w:szCs w:val="24"/>
          <w:highlight w:val="none"/>
        </w:rPr>
        <w:t>注：本表中的“总价”与“磋商报价表”中的“总报价”一致,各子项分别报价。</w:t>
      </w:r>
    </w:p>
    <w:p>
      <w:pPr>
        <w:pStyle w:val="6"/>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sz w:val="24"/>
          <w:highlight w:val="none"/>
          <w:u w:val="singl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4200" w:firstLineChars="175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ind w:firstLine="2640" w:firstLineChars="1100"/>
        <w:rPr>
          <w:rFonts w:hint="eastAsia" w:ascii="仿宋" w:hAnsi="仿宋" w:eastAsia="仿宋" w:cs="仿宋"/>
          <w:color w:val="000000" w:themeColor="text1"/>
          <w:sz w:val="24"/>
          <w:highlight w:val="none"/>
          <w:u w:val="single"/>
        </w:rPr>
      </w:pPr>
    </w:p>
    <w:p>
      <w:pPr>
        <w:pStyle w:val="6"/>
        <w:rPr>
          <w:rFonts w:hint="eastAsia" w:ascii="仿宋" w:hAnsi="仿宋" w:eastAsia="仿宋" w:cs="仿宋"/>
          <w:color w:val="000000" w:themeColor="text1"/>
          <w:sz w:val="24"/>
          <w:highlight w:val="none"/>
          <w:u w:val="single"/>
        </w:rPr>
      </w:pPr>
    </w:p>
    <w:p>
      <w:pPr>
        <w:rPr>
          <w:rFonts w:hint="eastAsia" w:ascii="仿宋" w:hAnsi="仿宋" w:eastAsia="仿宋" w:cs="仿宋"/>
          <w:color w:val="000000" w:themeColor="text1"/>
          <w:sz w:val="24"/>
          <w:highlight w:val="none"/>
          <w:u w:val="single"/>
        </w:rPr>
      </w:pPr>
    </w:p>
    <w:p>
      <w:pPr>
        <w:pStyle w:val="6"/>
        <w:rPr>
          <w:rFonts w:hint="eastAsia" w:ascii="仿宋" w:hAnsi="仿宋" w:eastAsia="仿宋" w:cs="仿宋"/>
          <w:color w:val="000000" w:themeColor="text1"/>
          <w:sz w:val="24"/>
          <w:highlight w:val="none"/>
          <w:u w:val="single"/>
        </w:rPr>
      </w:pPr>
    </w:p>
    <w:p>
      <w:pPr>
        <w:rPr>
          <w:rFonts w:hint="eastAsia" w:ascii="仿宋" w:hAnsi="仿宋" w:eastAsia="仿宋" w:cs="仿宋"/>
          <w:color w:val="000000" w:themeColor="text1"/>
          <w:sz w:val="24"/>
          <w:highlight w:val="none"/>
          <w:u w:val="single"/>
        </w:rPr>
      </w:pPr>
    </w:p>
    <w:p>
      <w:pPr>
        <w:pStyle w:val="6"/>
        <w:rPr>
          <w:rFonts w:hint="eastAsia" w:ascii="仿宋" w:hAnsi="仿宋" w:eastAsia="仿宋" w:cs="仿宋"/>
          <w:color w:val="000000" w:themeColor="text1"/>
          <w:sz w:val="24"/>
          <w:highlight w:val="none"/>
          <w:u w:val="single"/>
        </w:rPr>
      </w:pPr>
    </w:p>
    <w:p>
      <w:pPr>
        <w:rPr>
          <w:rFonts w:hint="eastAsia" w:ascii="仿宋" w:hAnsi="仿宋" w:eastAsia="仿宋" w:cs="仿宋"/>
          <w:color w:val="000000" w:themeColor="text1"/>
          <w:sz w:val="24"/>
          <w:highlight w:val="none"/>
          <w:u w:val="single"/>
        </w:rPr>
      </w:pPr>
    </w:p>
    <w:p>
      <w:pPr>
        <w:pStyle w:val="6"/>
        <w:rPr>
          <w:rFonts w:hint="eastAsia" w:ascii="仿宋" w:hAnsi="仿宋" w:eastAsia="仿宋" w:cs="仿宋"/>
          <w:color w:val="000000" w:themeColor="text1"/>
          <w:sz w:val="24"/>
          <w:highlight w:val="none"/>
          <w:u w:val="single"/>
        </w:rPr>
      </w:pPr>
    </w:p>
    <w:p>
      <w:pPr>
        <w:rPr>
          <w:rFonts w:hint="eastAsia" w:ascii="仿宋" w:hAnsi="仿宋" w:eastAsia="仿宋" w:cs="仿宋"/>
          <w:color w:val="000000" w:themeColor="text1"/>
          <w:sz w:val="24"/>
          <w:highlight w:val="none"/>
          <w:u w:val="single"/>
        </w:rPr>
      </w:pPr>
    </w:p>
    <w:p>
      <w:pPr>
        <w:pStyle w:val="6"/>
        <w:rPr>
          <w:rFonts w:hint="eastAsia" w:ascii="仿宋" w:hAnsi="仿宋" w:eastAsia="仿宋" w:cs="仿宋"/>
          <w:color w:val="000000" w:themeColor="text1"/>
          <w:sz w:val="24"/>
          <w:highlight w:val="none"/>
          <w:u w:val="single"/>
        </w:rPr>
      </w:pPr>
    </w:p>
    <w:p>
      <w:pPr>
        <w:rPr>
          <w:rFonts w:hint="eastAsia" w:ascii="仿宋" w:hAnsi="仿宋" w:eastAsia="仿宋" w:cs="仿宋"/>
          <w:color w:val="000000" w:themeColor="text1"/>
          <w:sz w:val="24"/>
          <w:highlight w:val="none"/>
          <w:u w:val="single"/>
        </w:rPr>
      </w:pPr>
    </w:p>
    <w:p>
      <w:pPr>
        <w:pStyle w:val="6"/>
        <w:rPr>
          <w:rFonts w:hint="eastAsia" w:ascii="仿宋" w:hAnsi="仿宋" w:eastAsia="仿宋" w:cs="仿宋"/>
          <w:color w:val="000000" w:themeColor="text1"/>
          <w:sz w:val="24"/>
          <w:highlight w:val="none"/>
          <w:u w:val="single"/>
        </w:rPr>
      </w:pPr>
    </w:p>
    <w:p>
      <w:pPr>
        <w:rPr>
          <w:rFonts w:hint="eastAsia" w:ascii="仿宋" w:hAnsi="仿宋" w:eastAsia="仿宋" w:cs="仿宋"/>
          <w:color w:val="000000" w:themeColor="text1"/>
          <w:sz w:val="24"/>
          <w:highlight w:val="none"/>
          <w:u w:val="single"/>
        </w:rPr>
      </w:pPr>
    </w:p>
    <w:p>
      <w:pPr>
        <w:pStyle w:val="6"/>
        <w:rPr>
          <w:rFonts w:hint="eastAsia" w:ascii="仿宋" w:hAnsi="仿宋" w:eastAsia="仿宋" w:cs="仿宋"/>
          <w:color w:val="000000" w:themeColor="text1"/>
          <w:sz w:val="24"/>
          <w:highlight w:val="none"/>
          <w:u w:val="single"/>
        </w:rPr>
      </w:pPr>
    </w:p>
    <w:p>
      <w:pPr>
        <w:rPr>
          <w:rFonts w:hint="eastAsia" w:ascii="仿宋" w:hAnsi="仿宋" w:eastAsia="仿宋" w:cs="仿宋"/>
          <w:color w:val="000000" w:themeColor="text1"/>
          <w:sz w:val="24"/>
          <w:highlight w:val="none"/>
          <w:u w:val="single"/>
        </w:rPr>
      </w:pPr>
    </w:p>
    <w:p>
      <w:pPr>
        <w:pStyle w:val="41"/>
        <w:widowControl w:val="0"/>
        <w:spacing w:beforeAutospacing="0" w:afterAutospacing="0" w:line="324" w:lineRule="auto"/>
        <w:jc w:val="both"/>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附表2</w:t>
      </w:r>
    </w:p>
    <w:p>
      <w:pPr>
        <w:pStyle w:val="41"/>
        <w:widowControl w:val="0"/>
        <w:spacing w:beforeAutospacing="0" w:afterAutospacing="0" w:line="324" w:lineRule="auto"/>
        <w:jc w:val="center"/>
        <w:rPr>
          <w:rFonts w:hint="eastAsia" w:ascii="仿宋" w:hAnsi="仿宋" w:eastAsia="仿宋" w:cs="仿宋"/>
          <w:b/>
          <w:color w:val="000000" w:themeColor="text1"/>
          <w:sz w:val="32"/>
          <w:szCs w:val="32"/>
          <w:highlight w:val="none"/>
        </w:rPr>
      </w:pPr>
      <w:r>
        <w:rPr>
          <w:rFonts w:hint="eastAsia" w:ascii="仿宋" w:hAnsi="仿宋" w:eastAsia="仿宋" w:cs="仿宋"/>
          <w:b/>
          <w:color w:val="000000" w:themeColor="text1"/>
          <w:kern w:val="2"/>
          <w:sz w:val="32"/>
          <w:szCs w:val="32"/>
          <w:highlight w:val="none"/>
        </w:rPr>
        <w:t>技术指标偏差表</w:t>
      </w:r>
    </w:p>
    <w:p>
      <w:pPr>
        <w:kinsoku w:val="0"/>
        <w:spacing w:line="50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项目名称：                                                    </w:t>
      </w:r>
    </w:p>
    <w:p>
      <w:pPr>
        <w:kinsoku w:val="0"/>
        <w:spacing w:line="500" w:lineRule="exact"/>
        <w:ind w:left="-118" w:leftChars="-56" w:firstLine="120" w:firstLineChars="5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供应商：</w:t>
      </w:r>
    </w:p>
    <w:tbl>
      <w:tblPr>
        <w:tblStyle w:val="47"/>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407"/>
        <w:gridCol w:w="1795"/>
        <w:gridCol w:w="1917"/>
        <w:gridCol w:w="1203"/>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center"/>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序号</w:t>
            </w:r>
          </w:p>
        </w:tc>
        <w:tc>
          <w:tcPr>
            <w:tcW w:w="2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center"/>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名称</w:t>
            </w:r>
          </w:p>
        </w:tc>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center"/>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招 标 要 求</w:t>
            </w:r>
          </w:p>
          <w:p>
            <w:pPr>
              <w:pStyle w:val="41"/>
              <w:widowControl w:val="0"/>
              <w:spacing w:beforeAutospacing="0" w:afterAutospacing="0" w:line="400" w:lineRule="exact"/>
              <w:jc w:val="center"/>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技 术 指 标</w:t>
            </w:r>
          </w:p>
        </w:tc>
        <w:tc>
          <w:tcPr>
            <w:tcW w:w="19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center"/>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投 标 响 应</w:t>
            </w:r>
          </w:p>
          <w:p>
            <w:pPr>
              <w:pStyle w:val="41"/>
              <w:widowControl w:val="0"/>
              <w:spacing w:beforeAutospacing="0" w:afterAutospacing="0" w:line="400" w:lineRule="exact"/>
              <w:jc w:val="center"/>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技 术 指 标</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偏离情况</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400" w:lineRule="exact"/>
              <w:jc w:val="center"/>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24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9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24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795"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91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203"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329"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24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795"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91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203"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329"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24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795"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91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203"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329"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24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795"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91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203"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329"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24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795"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91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203"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329"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24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795"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91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203"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329"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24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795"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91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203"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329"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240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400" w:lineRule="exact"/>
              <w:jc w:val="both"/>
              <w:rPr>
                <w:rFonts w:hint="eastAsia" w:ascii="仿宋" w:hAnsi="仿宋" w:eastAsia="仿宋" w:cs="仿宋"/>
                <w:color w:val="000000" w:themeColor="text1"/>
                <w:szCs w:val="24"/>
                <w:highlight w:val="none"/>
              </w:rPr>
            </w:pPr>
          </w:p>
        </w:tc>
        <w:tc>
          <w:tcPr>
            <w:tcW w:w="1795"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917"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203"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c>
          <w:tcPr>
            <w:tcW w:w="1329" w:type="dxa"/>
            <w:tcBorders>
              <w:top w:val="single" w:color="auto" w:sz="4" w:space="0"/>
              <w:left w:val="single" w:color="auto" w:sz="4" w:space="0"/>
              <w:bottom w:val="single" w:color="auto" w:sz="4" w:space="0"/>
              <w:right w:val="single" w:color="auto" w:sz="4" w:space="0"/>
            </w:tcBorders>
            <w:shd w:val="clear" w:color="auto" w:fill="auto"/>
          </w:tcPr>
          <w:p>
            <w:pPr>
              <w:pStyle w:val="41"/>
              <w:widowControl w:val="0"/>
              <w:spacing w:beforeAutospacing="0" w:afterAutospacing="0" w:line="600" w:lineRule="exact"/>
              <w:jc w:val="both"/>
              <w:rPr>
                <w:rFonts w:hint="eastAsia" w:ascii="仿宋" w:hAnsi="仿宋" w:eastAsia="仿宋" w:cs="仿宋"/>
                <w:color w:val="000000" w:themeColor="text1"/>
                <w:szCs w:val="24"/>
                <w:highlight w:val="none"/>
              </w:rPr>
            </w:pPr>
          </w:p>
        </w:tc>
      </w:tr>
    </w:tbl>
    <w:p>
      <w:pPr>
        <w:pStyle w:val="41"/>
        <w:widowControl w:val="0"/>
        <w:spacing w:beforeAutospacing="0" w:afterAutospacing="0" w:line="360" w:lineRule="auto"/>
        <w:jc w:val="both"/>
        <w:rPr>
          <w:rFonts w:hint="eastAsia" w:ascii="仿宋" w:hAnsi="仿宋" w:eastAsia="仿宋" w:cs="仿宋"/>
          <w:color w:val="000000" w:themeColor="text1"/>
          <w:szCs w:val="24"/>
          <w:highlight w:val="none"/>
        </w:rPr>
      </w:pPr>
      <w:r>
        <w:rPr>
          <w:rFonts w:hint="eastAsia" w:ascii="仿宋" w:hAnsi="仿宋" w:eastAsia="仿宋" w:cs="仿宋"/>
          <w:color w:val="000000" w:themeColor="text1"/>
          <w:kern w:val="2"/>
          <w:szCs w:val="24"/>
          <w:highlight w:val="none"/>
        </w:rPr>
        <w:t>说明：</w:t>
      </w:r>
    </w:p>
    <w:p>
      <w:pPr>
        <w:numPr>
          <w:ilvl w:val="0"/>
          <w:numId w:val="19"/>
        </w:numPr>
        <w:autoSpaceDE w:val="0"/>
        <w:autoSpaceDN w:val="0"/>
        <w:adjustRightInd w:val="0"/>
        <w:spacing w:line="360" w:lineRule="auto"/>
        <w:ind w:firstLine="482" w:firstLineChars="200"/>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请按项目的实际技术参数，逐条对应招标文件的“招标要求及技术参数”，认真填写本表。偏离情况填写：优于、等于或低于，偏离说明对偏离情况做出详细说明；如不填写其他所有技术条款视为全部响应。</w:t>
      </w:r>
    </w:p>
    <w:p>
      <w:pPr>
        <w:autoSpaceDE w:val="0"/>
        <w:autoSpaceDN w:val="0"/>
        <w:adjustRightInd w:val="0"/>
        <w:spacing w:line="360" w:lineRule="auto"/>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2、供应商应按实际情况填写，不得照抄、复制招标文件技术参数要求。</w:t>
      </w:r>
    </w:p>
    <w:p>
      <w:pPr>
        <w:rPr>
          <w:rFonts w:hint="eastAsia" w:ascii="仿宋" w:hAnsi="仿宋" w:eastAsia="仿宋" w:cs="仿宋"/>
          <w:color w:val="000000" w:themeColor="text1"/>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4200" w:firstLineChars="175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rPr>
          <w:rFonts w:hint="eastAsia" w:ascii="仿宋" w:hAnsi="仿宋" w:eastAsia="仿宋" w:cs="仿宋"/>
          <w:color w:val="000000" w:themeColor="text1"/>
          <w:highlight w:val="none"/>
        </w:rPr>
        <w:sectPr>
          <w:pgSz w:w="11906" w:h="16838"/>
          <w:pgMar w:top="1440" w:right="1274" w:bottom="1219" w:left="1418" w:header="720" w:footer="720" w:gutter="0"/>
          <w:pgBorders>
            <w:top w:val="none" w:sz="0" w:space="0"/>
            <w:left w:val="none" w:sz="0" w:space="0"/>
            <w:bottom w:val="none" w:sz="0" w:space="0"/>
            <w:right w:val="none" w:sz="0" w:space="0"/>
          </w:pgBorders>
          <w:pgNumType w:fmt="decimal"/>
          <w:cols w:space="720" w:num="1"/>
          <w:docGrid w:linePitch="312" w:charSpace="0"/>
        </w:sectPr>
      </w:pPr>
    </w:p>
    <w:bookmarkEnd w:id="147"/>
    <w:bookmarkEnd w:id="148"/>
    <w:bookmarkEnd w:id="149"/>
    <w:bookmarkEnd w:id="150"/>
    <w:bookmarkEnd w:id="151"/>
    <w:bookmarkEnd w:id="152"/>
    <w:bookmarkEnd w:id="153"/>
    <w:bookmarkEnd w:id="154"/>
    <w:bookmarkEnd w:id="155"/>
    <w:p>
      <w:pPr>
        <w:adjustRightInd w:val="0"/>
        <w:snapToGrid w:val="0"/>
        <w:spacing w:line="360" w:lineRule="auto"/>
        <w:rPr>
          <w:rFonts w:hint="eastAsia" w:ascii="仿宋" w:hAnsi="仿宋" w:eastAsia="仿宋" w:cs="仿宋"/>
          <w:color w:val="000000" w:themeColor="text1"/>
          <w:highlight w:val="none"/>
        </w:rPr>
      </w:pPr>
      <w:bookmarkStart w:id="156" w:name="_Toc423025061"/>
      <w:r>
        <w:rPr>
          <w:rFonts w:hint="eastAsia" w:ascii="仿宋" w:hAnsi="仿宋" w:eastAsia="仿宋" w:cs="仿宋"/>
          <w:color w:val="000000" w:themeColor="text1"/>
          <w:sz w:val="24"/>
          <w:szCs w:val="24"/>
          <w:highlight w:val="none"/>
        </w:rPr>
        <w:t>附表3:</w:t>
      </w:r>
    </w:p>
    <w:p>
      <w:pPr>
        <w:spacing w:line="480" w:lineRule="auto"/>
        <w:jc w:val="center"/>
        <w:rPr>
          <w:rFonts w:hint="eastAsia" w:ascii="仿宋" w:hAnsi="仿宋" w:eastAsia="仿宋" w:cs="仿宋"/>
          <w:b/>
          <w:color w:val="000000" w:themeColor="text1"/>
          <w:sz w:val="28"/>
          <w:szCs w:val="28"/>
          <w:highlight w:val="none"/>
        </w:rPr>
      </w:pPr>
      <w:r>
        <w:rPr>
          <w:rFonts w:hint="eastAsia" w:ascii="仿宋" w:hAnsi="仿宋" w:eastAsia="仿宋" w:cs="仿宋"/>
          <w:b/>
          <w:color w:val="000000" w:themeColor="text1"/>
          <w:sz w:val="28"/>
          <w:szCs w:val="28"/>
          <w:highlight w:val="none"/>
        </w:rPr>
        <w:t>商务条款偏离表</w:t>
      </w:r>
    </w:p>
    <w:p>
      <w:pPr>
        <w:spacing w:line="560" w:lineRule="exact"/>
        <w:rPr>
          <w:rFonts w:hint="eastAsia" w:ascii="仿宋" w:hAnsi="仿宋" w:eastAsia="仿宋" w:cs="仿宋"/>
          <w:b/>
          <w:bCs/>
          <w:color w:val="000000" w:themeColor="text1"/>
          <w:sz w:val="36"/>
          <w:szCs w:val="36"/>
          <w:highlight w:val="none"/>
        </w:rPr>
      </w:pPr>
      <w:r>
        <w:rPr>
          <w:rFonts w:hint="eastAsia" w:ascii="仿宋" w:hAnsi="仿宋" w:eastAsia="仿宋" w:cs="仿宋"/>
          <w:color w:val="000000" w:themeColor="text1"/>
          <w:szCs w:val="21"/>
          <w:highlight w:val="none"/>
        </w:rPr>
        <w:t>供应商名称：                         项目编号：</w:t>
      </w:r>
    </w:p>
    <w:tbl>
      <w:tblPr>
        <w:tblStyle w:val="47"/>
        <w:tblW w:w="9210" w:type="dxa"/>
        <w:tblInd w:w="13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910"/>
        <w:gridCol w:w="2625"/>
        <w:gridCol w:w="1590"/>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40" w:type="dxa"/>
            <w:vAlign w:val="center"/>
          </w:tcPr>
          <w:p>
            <w:pPr>
              <w:spacing w:line="320" w:lineRule="exact"/>
              <w:ind w:left="-97" w:leftChars="-46"/>
              <w:jc w:val="center"/>
              <w:rPr>
                <w:rFonts w:hint="eastAsia" w:ascii="仿宋" w:hAnsi="仿宋" w:eastAsia="仿宋" w:cs="仿宋"/>
                <w:b/>
                <w:bCs/>
                <w:color w:val="000000" w:themeColor="text1"/>
                <w:position w:val="4"/>
                <w:szCs w:val="21"/>
                <w:highlight w:val="none"/>
              </w:rPr>
            </w:pPr>
            <w:r>
              <w:rPr>
                <w:rFonts w:hint="eastAsia" w:ascii="仿宋" w:hAnsi="仿宋" w:eastAsia="仿宋" w:cs="仿宋"/>
                <w:b/>
                <w:color w:val="000000" w:themeColor="text1"/>
                <w:szCs w:val="21"/>
                <w:highlight w:val="none"/>
              </w:rPr>
              <w:t>序号</w:t>
            </w:r>
          </w:p>
        </w:tc>
        <w:tc>
          <w:tcPr>
            <w:tcW w:w="2910" w:type="dxa"/>
            <w:vAlign w:val="center"/>
          </w:tcPr>
          <w:p>
            <w:pPr>
              <w:spacing w:line="320" w:lineRule="exact"/>
              <w:jc w:val="center"/>
              <w:rPr>
                <w:rFonts w:hint="eastAsia" w:ascii="仿宋" w:hAnsi="仿宋" w:eastAsia="仿宋" w:cs="仿宋"/>
                <w:b/>
                <w:bCs/>
                <w:color w:val="000000" w:themeColor="text1"/>
                <w:position w:val="4"/>
                <w:szCs w:val="21"/>
                <w:highlight w:val="none"/>
              </w:rPr>
            </w:pPr>
            <w:r>
              <w:rPr>
                <w:rFonts w:hint="eastAsia" w:ascii="仿宋" w:hAnsi="仿宋" w:eastAsia="仿宋" w:cs="仿宋"/>
                <w:b/>
                <w:color w:val="000000" w:themeColor="text1"/>
                <w:szCs w:val="21"/>
                <w:highlight w:val="none"/>
              </w:rPr>
              <w:t>竞争性磋商文件商务要求</w:t>
            </w:r>
          </w:p>
        </w:tc>
        <w:tc>
          <w:tcPr>
            <w:tcW w:w="2625" w:type="dxa"/>
            <w:vAlign w:val="center"/>
          </w:tcPr>
          <w:p>
            <w:pPr>
              <w:spacing w:line="320" w:lineRule="exact"/>
              <w:jc w:val="center"/>
              <w:rPr>
                <w:rFonts w:hint="eastAsia" w:ascii="仿宋" w:hAnsi="仿宋" w:eastAsia="仿宋" w:cs="仿宋"/>
                <w:b/>
                <w:bCs/>
                <w:color w:val="000000" w:themeColor="text1"/>
                <w:position w:val="4"/>
                <w:szCs w:val="21"/>
                <w:highlight w:val="none"/>
              </w:rPr>
            </w:pPr>
            <w:r>
              <w:rPr>
                <w:rFonts w:hint="eastAsia" w:ascii="仿宋" w:hAnsi="仿宋" w:eastAsia="仿宋" w:cs="仿宋"/>
                <w:b/>
                <w:color w:val="000000" w:themeColor="text1"/>
                <w:szCs w:val="21"/>
                <w:highlight w:val="none"/>
              </w:rPr>
              <w:t>蹉商响应文件商务响应</w:t>
            </w:r>
          </w:p>
        </w:tc>
        <w:tc>
          <w:tcPr>
            <w:tcW w:w="1590" w:type="dxa"/>
            <w:vAlign w:val="center"/>
          </w:tcPr>
          <w:p>
            <w:pPr>
              <w:spacing w:line="320" w:lineRule="exact"/>
              <w:jc w:val="center"/>
              <w:rPr>
                <w:rFonts w:hint="eastAsia" w:ascii="仿宋" w:hAnsi="仿宋" w:eastAsia="仿宋" w:cs="仿宋"/>
                <w:b/>
                <w:bCs/>
                <w:color w:val="000000" w:themeColor="text1"/>
                <w:position w:val="4"/>
                <w:szCs w:val="21"/>
                <w:highlight w:val="none"/>
              </w:rPr>
            </w:pPr>
            <w:r>
              <w:rPr>
                <w:rFonts w:hint="eastAsia" w:ascii="仿宋" w:hAnsi="仿宋" w:eastAsia="仿宋" w:cs="仿宋"/>
                <w:b/>
                <w:color w:val="000000" w:themeColor="text1"/>
                <w:szCs w:val="21"/>
                <w:highlight w:val="none"/>
              </w:rPr>
              <w:t>偏离情况</w:t>
            </w:r>
          </w:p>
        </w:tc>
        <w:tc>
          <w:tcPr>
            <w:tcW w:w="1245" w:type="dxa"/>
            <w:vAlign w:val="center"/>
          </w:tcPr>
          <w:p>
            <w:pPr>
              <w:spacing w:line="320" w:lineRule="exact"/>
              <w:jc w:val="center"/>
              <w:rPr>
                <w:rFonts w:hint="eastAsia" w:ascii="仿宋" w:hAnsi="仿宋" w:eastAsia="仿宋" w:cs="仿宋"/>
                <w:b/>
                <w:bCs/>
                <w:color w:val="000000" w:themeColor="text1"/>
                <w:position w:val="4"/>
                <w:szCs w:val="21"/>
                <w:highlight w:val="none"/>
              </w:rPr>
            </w:pPr>
            <w:r>
              <w:rPr>
                <w:rFonts w:hint="eastAsia" w:ascii="仿宋" w:hAnsi="仿宋" w:eastAsia="仿宋" w:cs="仿宋"/>
                <w:b/>
                <w:color w:val="000000" w:themeColor="text1"/>
                <w:szCs w:val="21"/>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40" w:type="dxa"/>
          </w:tcPr>
          <w:p>
            <w:pPr>
              <w:spacing w:line="560" w:lineRule="exact"/>
              <w:rPr>
                <w:rFonts w:hint="eastAsia" w:ascii="仿宋" w:hAnsi="仿宋" w:eastAsia="仿宋" w:cs="仿宋"/>
                <w:b/>
                <w:bCs/>
                <w:color w:val="000000" w:themeColor="text1"/>
                <w:position w:val="4"/>
                <w:sz w:val="32"/>
                <w:szCs w:val="32"/>
                <w:highlight w:val="none"/>
              </w:rPr>
            </w:pPr>
          </w:p>
        </w:tc>
        <w:tc>
          <w:tcPr>
            <w:tcW w:w="2910" w:type="dxa"/>
          </w:tcPr>
          <w:p>
            <w:pPr>
              <w:spacing w:line="560" w:lineRule="exact"/>
              <w:rPr>
                <w:rFonts w:hint="eastAsia" w:ascii="仿宋" w:hAnsi="仿宋" w:eastAsia="仿宋" w:cs="仿宋"/>
                <w:b/>
                <w:bCs/>
                <w:color w:val="000000" w:themeColor="text1"/>
                <w:position w:val="4"/>
                <w:sz w:val="32"/>
                <w:szCs w:val="32"/>
                <w:highlight w:val="none"/>
              </w:rPr>
            </w:pPr>
          </w:p>
        </w:tc>
        <w:tc>
          <w:tcPr>
            <w:tcW w:w="2625" w:type="dxa"/>
          </w:tcPr>
          <w:p>
            <w:pPr>
              <w:spacing w:line="560" w:lineRule="exact"/>
              <w:rPr>
                <w:rFonts w:hint="eastAsia" w:ascii="仿宋" w:hAnsi="仿宋" w:eastAsia="仿宋" w:cs="仿宋"/>
                <w:b/>
                <w:bCs/>
                <w:color w:val="000000" w:themeColor="text1"/>
                <w:position w:val="4"/>
                <w:sz w:val="32"/>
                <w:szCs w:val="32"/>
                <w:highlight w:val="none"/>
              </w:rPr>
            </w:pPr>
          </w:p>
        </w:tc>
        <w:tc>
          <w:tcPr>
            <w:tcW w:w="1590" w:type="dxa"/>
          </w:tcPr>
          <w:p>
            <w:pPr>
              <w:spacing w:line="560" w:lineRule="exact"/>
              <w:rPr>
                <w:rFonts w:hint="eastAsia" w:ascii="仿宋" w:hAnsi="仿宋" w:eastAsia="仿宋" w:cs="仿宋"/>
                <w:b/>
                <w:bCs/>
                <w:color w:val="000000" w:themeColor="text1"/>
                <w:position w:val="4"/>
                <w:sz w:val="32"/>
                <w:szCs w:val="32"/>
                <w:highlight w:val="none"/>
              </w:rPr>
            </w:pPr>
          </w:p>
        </w:tc>
        <w:tc>
          <w:tcPr>
            <w:tcW w:w="1245" w:type="dxa"/>
          </w:tcPr>
          <w:p>
            <w:pPr>
              <w:spacing w:line="560" w:lineRule="exact"/>
              <w:rPr>
                <w:rFonts w:hint="eastAsia" w:ascii="仿宋" w:hAnsi="仿宋" w:eastAsia="仿宋" w:cs="仿宋"/>
                <w:b/>
                <w:bCs/>
                <w:color w:val="000000" w:themeColor="text1"/>
                <w:position w:val="4"/>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0" w:type="dxa"/>
          </w:tcPr>
          <w:p>
            <w:pPr>
              <w:spacing w:line="560" w:lineRule="exact"/>
              <w:rPr>
                <w:rFonts w:hint="eastAsia" w:ascii="仿宋" w:hAnsi="仿宋" w:eastAsia="仿宋" w:cs="仿宋"/>
                <w:b/>
                <w:bCs/>
                <w:color w:val="000000" w:themeColor="text1"/>
                <w:position w:val="4"/>
                <w:sz w:val="32"/>
                <w:szCs w:val="32"/>
                <w:highlight w:val="none"/>
              </w:rPr>
            </w:pPr>
          </w:p>
        </w:tc>
        <w:tc>
          <w:tcPr>
            <w:tcW w:w="2910" w:type="dxa"/>
          </w:tcPr>
          <w:p>
            <w:pPr>
              <w:spacing w:line="560" w:lineRule="exact"/>
              <w:rPr>
                <w:rFonts w:hint="eastAsia" w:ascii="仿宋" w:hAnsi="仿宋" w:eastAsia="仿宋" w:cs="仿宋"/>
                <w:b/>
                <w:bCs/>
                <w:color w:val="000000" w:themeColor="text1"/>
                <w:position w:val="4"/>
                <w:sz w:val="32"/>
                <w:szCs w:val="32"/>
                <w:highlight w:val="none"/>
              </w:rPr>
            </w:pPr>
          </w:p>
        </w:tc>
        <w:tc>
          <w:tcPr>
            <w:tcW w:w="2625" w:type="dxa"/>
          </w:tcPr>
          <w:p>
            <w:pPr>
              <w:spacing w:line="560" w:lineRule="exact"/>
              <w:rPr>
                <w:rFonts w:hint="eastAsia" w:ascii="仿宋" w:hAnsi="仿宋" w:eastAsia="仿宋" w:cs="仿宋"/>
                <w:b/>
                <w:bCs/>
                <w:color w:val="000000" w:themeColor="text1"/>
                <w:position w:val="4"/>
                <w:sz w:val="32"/>
                <w:szCs w:val="32"/>
                <w:highlight w:val="none"/>
              </w:rPr>
            </w:pPr>
          </w:p>
        </w:tc>
        <w:tc>
          <w:tcPr>
            <w:tcW w:w="1590" w:type="dxa"/>
          </w:tcPr>
          <w:p>
            <w:pPr>
              <w:spacing w:line="560" w:lineRule="exact"/>
              <w:rPr>
                <w:rFonts w:hint="eastAsia" w:ascii="仿宋" w:hAnsi="仿宋" w:eastAsia="仿宋" w:cs="仿宋"/>
                <w:b/>
                <w:bCs/>
                <w:color w:val="000000" w:themeColor="text1"/>
                <w:position w:val="4"/>
                <w:sz w:val="32"/>
                <w:szCs w:val="32"/>
                <w:highlight w:val="none"/>
              </w:rPr>
            </w:pPr>
          </w:p>
        </w:tc>
        <w:tc>
          <w:tcPr>
            <w:tcW w:w="1245" w:type="dxa"/>
          </w:tcPr>
          <w:p>
            <w:pPr>
              <w:spacing w:line="560" w:lineRule="exact"/>
              <w:rPr>
                <w:rFonts w:hint="eastAsia" w:ascii="仿宋" w:hAnsi="仿宋" w:eastAsia="仿宋" w:cs="仿宋"/>
                <w:b/>
                <w:bCs/>
                <w:color w:val="000000" w:themeColor="text1"/>
                <w:position w:val="4"/>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0" w:type="dxa"/>
          </w:tcPr>
          <w:p>
            <w:pPr>
              <w:spacing w:line="560" w:lineRule="exact"/>
              <w:rPr>
                <w:rFonts w:hint="eastAsia" w:ascii="仿宋" w:hAnsi="仿宋" w:eastAsia="仿宋" w:cs="仿宋"/>
                <w:b/>
                <w:bCs/>
                <w:color w:val="000000" w:themeColor="text1"/>
                <w:position w:val="4"/>
                <w:sz w:val="32"/>
                <w:szCs w:val="32"/>
                <w:highlight w:val="none"/>
              </w:rPr>
            </w:pPr>
          </w:p>
        </w:tc>
        <w:tc>
          <w:tcPr>
            <w:tcW w:w="2910" w:type="dxa"/>
          </w:tcPr>
          <w:p>
            <w:pPr>
              <w:spacing w:line="560" w:lineRule="exact"/>
              <w:rPr>
                <w:rFonts w:hint="eastAsia" w:ascii="仿宋" w:hAnsi="仿宋" w:eastAsia="仿宋" w:cs="仿宋"/>
                <w:b/>
                <w:bCs/>
                <w:color w:val="000000" w:themeColor="text1"/>
                <w:position w:val="4"/>
                <w:sz w:val="32"/>
                <w:szCs w:val="32"/>
                <w:highlight w:val="none"/>
              </w:rPr>
            </w:pPr>
          </w:p>
        </w:tc>
        <w:tc>
          <w:tcPr>
            <w:tcW w:w="2625" w:type="dxa"/>
          </w:tcPr>
          <w:p>
            <w:pPr>
              <w:spacing w:line="560" w:lineRule="exact"/>
              <w:rPr>
                <w:rFonts w:hint="eastAsia" w:ascii="仿宋" w:hAnsi="仿宋" w:eastAsia="仿宋" w:cs="仿宋"/>
                <w:b/>
                <w:bCs/>
                <w:color w:val="000000" w:themeColor="text1"/>
                <w:position w:val="4"/>
                <w:sz w:val="32"/>
                <w:szCs w:val="32"/>
                <w:highlight w:val="none"/>
              </w:rPr>
            </w:pPr>
          </w:p>
        </w:tc>
        <w:tc>
          <w:tcPr>
            <w:tcW w:w="1590" w:type="dxa"/>
          </w:tcPr>
          <w:p>
            <w:pPr>
              <w:spacing w:line="560" w:lineRule="exact"/>
              <w:rPr>
                <w:rFonts w:hint="eastAsia" w:ascii="仿宋" w:hAnsi="仿宋" w:eastAsia="仿宋" w:cs="仿宋"/>
                <w:b/>
                <w:bCs/>
                <w:color w:val="000000" w:themeColor="text1"/>
                <w:position w:val="4"/>
                <w:sz w:val="32"/>
                <w:szCs w:val="32"/>
                <w:highlight w:val="none"/>
              </w:rPr>
            </w:pPr>
          </w:p>
        </w:tc>
        <w:tc>
          <w:tcPr>
            <w:tcW w:w="1245" w:type="dxa"/>
          </w:tcPr>
          <w:p>
            <w:pPr>
              <w:spacing w:line="560" w:lineRule="exact"/>
              <w:rPr>
                <w:rFonts w:hint="eastAsia" w:ascii="仿宋" w:hAnsi="仿宋" w:eastAsia="仿宋" w:cs="仿宋"/>
                <w:b/>
                <w:bCs/>
                <w:color w:val="000000" w:themeColor="text1"/>
                <w:position w:val="4"/>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0" w:type="dxa"/>
          </w:tcPr>
          <w:p>
            <w:pPr>
              <w:spacing w:line="560" w:lineRule="exact"/>
              <w:rPr>
                <w:rFonts w:hint="eastAsia" w:ascii="仿宋" w:hAnsi="仿宋" w:eastAsia="仿宋" w:cs="仿宋"/>
                <w:b/>
                <w:bCs/>
                <w:color w:val="000000" w:themeColor="text1"/>
                <w:position w:val="4"/>
                <w:sz w:val="32"/>
                <w:szCs w:val="32"/>
                <w:highlight w:val="none"/>
              </w:rPr>
            </w:pPr>
          </w:p>
        </w:tc>
        <w:tc>
          <w:tcPr>
            <w:tcW w:w="2910" w:type="dxa"/>
          </w:tcPr>
          <w:p>
            <w:pPr>
              <w:spacing w:line="560" w:lineRule="exact"/>
              <w:rPr>
                <w:rFonts w:hint="eastAsia" w:ascii="仿宋" w:hAnsi="仿宋" w:eastAsia="仿宋" w:cs="仿宋"/>
                <w:b/>
                <w:bCs/>
                <w:color w:val="000000" w:themeColor="text1"/>
                <w:position w:val="4"/>
                <w:sz w:val="32"/>
                <w:szCs w:val="32"/>
                <w:highlight w:val="none"/>
              </w:rPr>
            </w:pPr>
          </w:p>
        </w:tc>
        <w:tc>
          <w:tcPr>
            <w:tcW w:w="2625" w:type="dxa"/>
          </w:tcPr>
          <w:p>
            <w:pPr>
              <w:spacing w:line="560" w:lineRule="exact"/>
              <w:rPr>
                <w:rFonts w:hint="eastAsia" w:ascii="仿宋" w:hAnsi="仿宋" w:eastAsia="仿宋" w:cs="仿宋"/>
                <w:b/>
                <w:bCs/>
                <w:color w:val="000000" w:themeColor="text1"/>
                <w:position w:val="4"/>
                <w:sz w:val="32"/>
                <w:szCs w:val="32"/>
                <w:highlight w:val="none"/>
              </w:rPr>
            </w:pPr>
          </w:p>
        </w:tc>
        <w:tc>
          <w:tcPr>
            <w:tcW w:w="1590" w:type="dxa"/>
          </w:tcPr>
          <w:p>
            <w:pPr>
              <w:spacing w:line="560" w:lineRule="exact"/>
              <w:rPr>
                <w:rFonts w:hint="eastAsia" w:ascii="仿宋" w:hAnsi="仿宋" w:eastAsia="仿宋" w:cs="仿宋"/>
                <w:b/>
                <w:bCs/>
                <w:color w:val="000000" w:themeColor="text1"/>
                <w:position w:val="4"/>
                <w:sz w:val="32"/>
                <w:szCs w:val="32"/>
                <w:highlight w:val="none"/>
              </w:rPr>
            </w:pPr>
          </w:p>
        </w:tc>
        <w:tc>
          <w:tcPr>
            <w:tcW w:w="1245" w:type="dxa"/>
          </w:tcPr>
          <w:p>
            <w:pPr>
              <w:spacing w:line="560" w:lineRule="exact"/>
              <w:rPr>
                <w:rFonts w:hint="eastAsia" w:ascii="仿宋" w:hAnsi="仿宋" w:eastAsia="仿宋" w:cs="仿宋"/>
                <w:b/>
                <w:bCs/>
                <w:color w:val="000000" w:themeColor="text1"/>
                <w:position w:val="4"/>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0" w:type="dxa"/>
          </w:tcPr>
          <w:p>
            <w:pPr>
              <w:spacing w:line="560" w:lineRule="exact"/>
              <w:rPr>
                <w:rFonts w:hint="eastAsia" w:ascii="仿宋" w:hAnsi="仿宋" w:eastAsia="仿宋" w:cs="仿宋"/>
                <w:b/>
                <w:bCs/>
                <w:color w:val="000000" w:themeColor="text1"/>
                <w:position w:val="4"/>
                <w:sz w:val="32"/>
                <w:szCs w:val="32"/>
                <w:highlight w:val="none"/>
              </w:rPr>
            </w:pPr>
          </w:p>
        </w:tc>
        <w:tc>
          <w:tcPr>
            <w:tcW w:w="2910" w:type="dxa"/>
          </w:tcPr>
          <w:p>
            <w:pPr>
              <w:spacing w:line="560" w:lineRule="exact"/>
              <w:rPr>
                <w:rFonts w:hint="eastAsia" w:ascii="仿宋" w:hAnsi="仿宋" w:eastAsia="仿宋" w:cs="仿宋"/>
                <w:b/>
                <w:bCs/>
                <w:color w:val="000000" w:themeColor="text1"/>
                <w:position w:val="4"/>
                <w:sz w:val="32"/>
                <w:szCs w:val="32"/>
                <w:highlight w:val="none"/>
              </w:rPr>
            </w:pPr>
          </w:p>
        </w:tc>
        <w:tc>
          <w:tcPr>
            <w:tcW w:w="2625" w:type="dxa"/>
          </w:tcPr>
          <w:p>
            <w:pPr>
              <w:spacing w:line="560" w:lineRule="exact"/>
              <w:rPr>
                <w:rFonts w:hint="eastAsia" w:ascii="仿宋" w:hAnsi="仿宋" w:eastAsia="仿宋" w:cs="仿宋"/>
                <w:b/>
                <w:bCs/>
                <w:color w:val="000000" w:themeColor="text1"/>
                <w:position w:val="4"/>
                <w:sz w:val="32"/>
                <w:szCs w:val="32"/>
                <w:highlight w:val="none"/>
              </w:rPr>
            </w:pPr>
          </w:p>
        </w:tc>
        <w:tc>
          <w:tcPr>
            <w:tcW w:w="1590" w:type="dxa"/>
          </w:tcPr>
          <w:p>
            <w:pPr>
              <w:spacing w:line="560" w:lineRule="exact"/>
              <w:rPr>
                <w:rFonts w:hint="eastAsia" w:ascii="仿宋" w:hAnsi="仿宋" w:eastAsia="仿宋" w:cs="仿宋"/>
                <w:b/>
                <w:bCs/>
                <w:color w:val="000000" w:themeColor="text1"/>
                <w:position w:val="4"/>
                <w:sz w:val="32"/>
                <w:szCs w:val="32"/>
                <w:highlight w:val="none"/>
              </w:rPr>
            </w:pPr>
          </w:p>
        </w:tc>
        <w:tc>
          <w:tcPr>
            <w:tcW w:w="1245" w:type="dxa"/>
          </w:tcPr>
          <w:p>
            <w:pPr>
              <w:spacing w:line="560" w:lineRule="exact"/>
              <w:rPr>
                <w:rFonts w:hint="eastAsia" w:ascii="仿宋" w:hAnsi="仿宋" w:eastAsia="仿宋" w:cs="仿宋"/>
                <w:b/>
                <w:bCs/>
                <w:color w:val="000000" w:themeColor="text1"/>
                <w:position w:val="4"/>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0" w:type="dxa"/>
          </w:tcPr>
          <w:p>
            <w:pPr>
              <w:spacing w:line="560" w:lineRule="exact"/>
              <w:rPr>
                <w:rFonts w:hint="eastAsia" w:ascii="仿宋" w:hAnsi="仿宋" w:eastAsia="仿宋" w:cs="仿宋"/>
                <w:b/>
                <w:bCs/>
                <w:color w:val="000000" w:themeColor="text1"/>
                <w:position w:val="4"/>
                <w:sz w:val="32"/>
                <w:szCs w:val="32"/>
                <w:highlight w:val="none"/>
              </w:rPr>
            </w:pPr>
          </w:p>
        </w:tc>
        <w:tc>
          <w:tcPr>
            <w:tcW w:w="2910" w:type="dxa"/>
          </w:tcPr>
          <w:p>
            <w:pPr>
              <w:spacing w:line="560" w:lineRule="exact"/>
              <w:rPr>
                <w:rFonts w:hint="eastAsia" w:ascii="仿宋" w:hAnsi="仿宋" w:eastAsia="仿宋" w:cs="仿宋"/>
                <w:b/>
                <w:bCs/>
                <w:color w:val="000000" w:themeColor="text1"/>
                <w:position w:val="4"/>
                <w:sz w:val="32"/>
                <w:szCs w:val="32"/>
                <w:highlight w:val="none"/>
              </w:rPr>
            </w:pPr>
          </w:p>
        </w:tc>
        <w:tc>
          <w:tcPr>
            <w:tcW w:w="2625" w:type="dxa"/>
          </w:tcPr>
          <w:p>
            <w:pPr>
              <w:spacing w:line="560" w:lineRule="exact"/>
              <w:rPr>
                <w:rFonts w:hint="eastAsia" w:ascii="仿宋" w:hAnsi="仿宋" w:eastAsia="仿宋" w:cs="仿宋"/>
                <w:b/>
                <w:bCs/>
                <w:color w:val="000000" w:themeColor="text1"/>
                <w:position w:val="4"/>
                <w:sz w:val="32"/>
                <w:szCs w:val="32"/>
                <w:highlight w:val="none"/>
              </w:rPr>
            </w:pPr>
          </w:p>
        </w:tc>
        <w:tc>
          <w:tcPr>
            <w:tcW w:w="1590" w:type="dxa"/>
          </w:tcPr>
          <w:p>
            <w:pPr>
              <w:spacing w:line="560" w:lineRule="exact"/>
              <w:rPr>
                <w:rFonts w:hint="eastAsia" w:ascii="仿宋" w:hAnsi="仿宋" w:eastAsia="仿宋" w:cs="仿宋"/>
                <w:b/>
                <w:bCs/>
                <w:color w:val="000000" w:themeColor="text1"/>
                <w:position w:val="4"/>
                <w:sz w:val="32"/>
                <w:szCs w:val="32"/>
                <w:highlight w:val="none"/>
              </w:rPr>
            </w:pPr>
          </w:p>
        </w:tc>
        <w:tc>
          <w:tcPr>
            <w:tcW w:w="1245" w:type="dxa"/>
          </w:tcPr>
          <w:p>
            <w:pPr>
              <w:spacing w:line="560" w:lineRule="exact"/>
              <w:rPr>
                <w:rFonts w:hint="eastAsia" w:ascii="仿宋" w:hAnsi="仿宋" w:eastAsia="仿宋" w:cs="仿宋"/>
                <w:b/>
                <w:bCs/>
                <w:color w:val="000000" w:themeColor="text1"/>
                <w:position w:val="4"/>
                <w:sz w:val="32"/>
                <w:szCs w:val="32"/>
                <w:highlight w:val="none"/>
              </w:rPr>
            </w:pPr>
          </w:p>
        </w:tc>
      </w:tr>
    </w:tbl>
    <w:p>
      <w:pPr>
        <w:spacing w:line="480" w:lineRule="auto"/>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 xml:space="preserve">注：1、除本商务条款偏离表中所列的偏离项目外，其他所有商务均完全响应“竞争性磋商文件”中的要求。 </w:t>
      </w:r>
    </w:p>
    <w:p>
      <w:pPr>
        <w:numPr>
          <w:ilvl w:val="0"/>
          <w:numId w:val="20"/>
        </w:numPr>
        <w:spacing w:line="480" w:lineRule="auto"/>
        <w:ind w:firstLine="420" w:firstLineChars="2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投标人必须据实填写，不得虚假响应，否则将取消其投标或中标资格，并按有关规定进行处罚。</w:t>
      </w: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52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 xml:space="preserve">                                            </w:t>
      </w:r>
    </w:p>
    <w:p>
      <w:pPr>
        <w:spacing w:line="520" w:lineRule="exact"/>
        <w:rPr>
          <w:rFonts w:hint="eastAsia" w:ascii="仿宋" w:hAnsi="仿宋" w:eastAsia="仿宋" w:cs="仿宋"/>
          <w:color w:val="000000" w:themeColor="text1"/>
          <w:szCs w:val="21"/>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4200" w:firstLineChars="17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spacing w:line="520" w:lineRule="exact"/>
        <w:rPr>
          <w:rFonts w:hint="eastAsia" w:ascii="仿宋" w:hAnsi="仿宋" w:eastAsia="仿宋" w:cs="仿宋"/>
          <w:color w:val="000000" w:themeColor="text1"/>
          <w:szCs w:val="21"/>
          <w:highlight w:val="none"/>
        </w:rPr>
      </w:pPr>
    </w:p>
    <w:p>
      <w:pPr>
        <w:spacing w:line="520" w:lineRule="exact"/>
        <w:rPr>
          <w:rFonts w:hint="eastAsia" w:ascii="仿宋" w:hAnsi="仿宋" w:eastAsia="仿宋" w:cs="仿宋"/>
          <w:color w:val="000000" w:themeColor="text1"/>
          <w:szCs w:val="21"/>
          <w:highlight w:val="none"/>
        </w:rPr>
      </w:pPr>
    </w:p>
    <w:p>
      <w:pPr>
        <w:spacing w:line="520" w:lineRule="exact"/>
        <w:rPr>
          <w:rFonts w:hint="eastAsia" w:ascii="仿宋" w:hAnsi="仿宋" w:eastAsia="仿宋" w:cs="仿宋"/>
          <w:color w:val="000000" w:themeColor="text1"/>
          <w:szCs w:val="21"/>
          <w:highlight w:val="none"/>
        </w:rPr>
      </w:pPr>
    </w:p>
    <w:p>
      <w:pPr>
        <w:spacing w:line="520" w:lineRule="exact"/>
        <w:jc w:val="center"/>
        <w:outlineLvl w:val="1"/>
        <w:rPr>
          <w:rFonts w:hint="eastAsia" w:ascii="仿宋" w:hAnsi="仿宋" w:eastAsia="仿宋" w:cs="仿宋"/>
          <w:b/>
          <w:color w:val="000000" w:themeColor="text1"/>
          <w:sz w:val="30"/>
          <w:szCs w:val="30"/>
          <w:highlight w:val="none"/>
        </w:rPr>
      </w:pPr>
      <w:bookmarkStart w:id="157" w:name="_Toc4574"/>
      <w:bookmarkStart w:id="158" w:name="_Toc1036"/>
      <w:bookmarkStart w:id="159" w:name="_Toc22616"/>
      <w:bookmarkStart w:id="160" w:name="_Toc4749"/>
      <w:r>
        <w:rPr>
          <w:rFonts w:hint="eastAsia" w:ascii="仿宋" w:hAnsi="仿宋" w:eastAsia="仿宋" w:cs="仿宋"/>
          <w:b/>
          <w:color w:val="000000" w:themeColor="text1"/>
          <w:sz w:val="30"/>
          <w:szCs w:val="30"/>
          <w:highlight w:val="none"/>
        </w:rPr>
        <w:t xml:space="preserve">附件3 </w:t>
      </w:r>
      <w:bookmarkStart w:id="161" w:name="_Hlt491572840"/>
      <w:bookmarkEnd w:id="161"/>
      <w:r>
        <w:rPr>
          <w:rFonts w:hint="eastAsia" w:ascii="仿宋" w:hAnsi="仿宋" w:eastAsia="仿宋" w:cs="仿宋"/>
          <w:b/>
          <w:color w:val="000000" w:themeColor="text1"/>
          <w:sz w:val="30"/>
          <w:szCs w:val="30"/>
          <w:highlight w:val="none"/>
        </w:rPr>
        <w:t xml:space="preserve"> 法定代表人授权委托书</w:t>
      </w:r>
      <w:bookmarkEnd w:id="156"/>
      <w:bookmarkEnd w:id="157"/>
      <w:bookmarkEnd w:id="158"/>
      <w:bookmarkEnd w:id="159"/>
      <w:bookmarkEnd w:id="160"/>
    </w:p>
    <w:p>
      <w:pPr>
        <w:tabs>
          <w:tab w:val="left" w:pos="8820"/>
        </w:tabs>
        <w:spacing w:line="500" w:lineRule="exact"/>
        <w:ind w:firstLine="570"/>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本授权委托书声明：我</w:t>
      </w:r>
      <w:r>
        <w:rPr>
          <w:rFonts w:hint="eastAsia" w:ascii="仿宋" w:hAnsi="仿宋" w:eastAsia="仿宋" w:cs="仿宋"/>
          <w:color w:val="000000" w:themeColor="text1"/>
          <w:sz w:val="24"/>
          <w:highlight w:val="none"/>
          <w:u w:val="single"/>
        </w:rPr>
        <w:t>（法定代表人姓名）</w:t>
      </w:r>
      <w:r>
        <w:rPr>
          <w:rFonts w:hint="eastAsia" w:ascii="仿宋" w:hAnsi="仿宋" w:eastAsia="仿宋" w:cs="仿宋"/>
          <w:color w:val="000000" w:themeColor="text1"/>
          <w:sz w:val="24"/>
          <w:highlight w:val="none"/>
        </w:rPr>
        <w:t>系注册于</w:t>
      </w:r>
      <w:r>
        <w:rPr>
          <w:rFonts w:hint="eastAsia" w:ascii="仿宋" w:hAnsi="仿宋" w:eastAsia="仿宋" w:cs="仿宋"/>
          <w:color w:val="000000" w:themeColor="text1"/>
          <w:sz w:val="24"/>
          <w:highlight w:val="none"/>
          <w:u w:val="single"/>
        </w:rPr>
        <w:t xml:space="preserve">  （供应商地址）  </w:t>
      </w:r>
      <w:r>
        <w:rPr>
          <w:rFonts w:hint="eastAsia" w:ascii="仿宋" w:hAnsi="仿宋" w:eastAsia="仿宋" w:cs="仿宋"/>
          <w:color w:val="000000" w:themeColor="text1"/>
          <w:sz w:val="24"/>
          <w:highlight w:val="none"/>
        </w:rPr>
        <w:t>的</w:t>
      </w:r>
      <w:r>
        <w:rPr>
          <w:rFonts w:hint="eastAsia" w:ascii="仿宋" w:hAnsi="仿宋" w:eastAsia="仿宋" w:cs="仿宋"/>
          <w:color w:val="000000" w:themeColor="text1"/>
          <w:sz w:val="24"/>
          <w:highlight w:val="none"/>
          <w:u w:val="single"/>
        </w:rPr>
        <w:t xml:space="preserve">（供应商名称）  </w:t>
      </w:r>
      <w:r>
        <w:rPr>
          <w:rFonts w:hint="eastAsia" w:ascii="仿宋" w:hAnsi="仿宋" w:eastAsia="仿宋" w:cs="仿宋"/>
          <w:color w:val="000000" w:themeColor="text1"/>
          <w:sz w:val="24"/>
          <w:highlight w:val="none"/>
        </w:rPr>
        <w:t>的法定代表人，现代表公司授权下面签字的</w:t>
      </w:r>
      <w:r>
        <w:rPr>
          <w:rFonts w:hint="eastAsia" w:ascii="仿宋" w:hAnsi="仿宋" w:eastAsia="仿宋" w:cs="仿宋"/>
          <w:color w:val="000000" w:themeColor="text1"/>
          <w:sz w:val="24"/>
          <w:highlight w:val="none"/>
          <w:u w:val="single"/>
        </w:rPr>
        <w:t>（被授权人的姓名、职务）</w:t>
      </w:r>
      <w:r>
        <w:rPr>
          <w:rFonts w:hint="eastAsia" w:ascii="仿宋" w:hAnsi="仿宋" w:eastAsia="仿宋" w:cs="仿宋"/>
          <w:color w:val="000000" w:themeColor="text1"/>
          <w:sz w:val="24"/>
          <w:highlight w:val="none"/>
        </w:rPr>
        <w:t>为我公司合法代理人，代表本公司参加</w:t>
      </w:r>
      <w:r>
        <w:rPr>
          <w:rFonts w:hint="eastAsia" w:ascii="仿宋" w:hAnsi="仿宋" w:eastAsia="仿宋" w:cs="仿宋"/>
          <w:color w:val="000000" w:themeColor="text1"/>
          <w:sz w:val="24"/>
          <w:highlight w:val="none"/>
          <w:u w:val="single"/>
        </w:rPr>
        <w:t xml:space="preserve">  （采购项目名称）  (采购项目编号)  </w:t>
      </w:r>
      <w:r>
        <w:rPr>
          <w:rFonts w:hint="eastAsia" w:ascii="仿宋" w:hAnsi="仿宋" w:eastAsia="仿宋" w:cs="仿宋"/>
          <w:color w:val="000000" w:themeColor="text1"/>
          <w:sz w:val="24"/>
          <w:highlight w:val="none"/>
        </w:rPr>
        <w:t>的磋商活动。代理人在本次磋商中所签署的一切文件和处理的一切有关事物，我公司均予承认。</w:t>
      </w:r>
    </w:p>
    <w:p>
      <w:pPr>
        <w:spacing w:line="50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本授权书于</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日签字（或盖章）生效，有效期自磋商之日起</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天，特此声明。</w:t>
      </w:r>
    </w:p>
    <w:p>
      <w:pPr>
        <w:spacing w:line="400" w:lineRule="atLeast"/>
        <w:rPr>
          <w:rFonts w:hint="eastAsia" w:ascii="仿宋" w:hAnsi="仿宋" w:eastAsia="仿宋" w:cs="仿宋"/>
          <w:color w:val="000000" w:themeColor="text1"/>
          <w:sz w:val="24"/>
          <w:highlight w:val="none"/>
        </w:rPr>
      </w:pPr>
    </w:p>
    <w:tbl>
      <w:tblPr>
        <w:tblStyle w:val="47"/>
        <w:tblpPr w:leftFromText="180" w:rightFromText="180" w:vertAnchor="text" w:horzAnchor="margin" w:tblpXSpec="center" w:tblpY="633"/>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4320" w:type="dxa"/>
          </w:tcPr>
          <w:p>
            <w:pPr>
              <w:spacing w:line="360" w:lineRule="auto"/>
              <w:rPr>
                <w:rFonts w:hint="eastAsia" w:ascii="仿宋" w:hAnsi="仿宋" w:eastAsia="仿宋" w:cs="仿宋"/>
                <w:color w:val="000000" w:themeColor="text1"/>
                <w:sz w:val="24"/>
                <w:szCs w:val="22"/>
                <w:highlight w:val="none"/>
              </w:rPr>
            </w:pPr>
          </w:p>
          <w:p>
            <w:pPr>
              <w:spacing w:line="360" w:lineRule="auto"/>
              <w:rPr>
                <w:rFonts w:hint="eastAsia" w:ascii="仿宋" w:hAnsi="仿宋" w:eastAsia="仿宋" w:cs="仿宋"/>
                <w:color w:val="000000" w:themeColor="text1"/>
                <w:sz w:val="24"/>
                <w:szCs w:val="22"/>
                <w:highlight w:val="none"/>
              </w:rPr>
            </w:pPr>
          </w:p>
        </w:tc>
        <w:tc>
          <w:tcPr>
            <w:tcW w:w="4390" w:type="dxa"/>
          </w:tcPr>
          <w:p>
            <w:pPr>
              <w:spacing w:line="360" w:lineRule="auto"/>
              <w:rPr>
                <w:rFonts w:hint="eastAsia" w:ascii="仿宋" w:hAnsi="仿宋" w:eastAsia="仿宋" w:cs="仿宋"/>
                <w:color w:val="000000" w:themeColor="text1"/>
                <w:sz w:val="24"/>
                <w:szCs w:val="22"/>
                <w:highlight w:val="none"/>
              </w:rPr>
            </w:pPr>
          </w:p>
          <w:p>
            <w:pPr>
              <w:widowControl/>
              <w:jc w:val="left"/>
              <w:rPr>
                <w:rFonts w:hint="eastAsia" w:ascii="仿宋" w:hAnsi="仿宋" w:eastAsia="仿宋" w:cs="仿宋"/>
                <w:color w:val="000000" w:themeColor="text1"/>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4320" w:type="dxa"/>
          </w:tcPr>
          <w:p>
            <w:pPr>
              <w:spacing w:line="360" w:lineRule="auto"/>
              <w:rPr>
                <w:rFonts w:hint="eastAsia" w:ascii="仿宋" w:hAnsi="仿宋" w:eastAsia="仿宋" w:cs="仿宋"/>
                <w:color w:val="000000" w:themeColor="text1"/>
                <w:sz w:val="24"/>
                <w:szCs w:val="22"/>
                <w:highlight w:val="none"/>
              </w:rPr>
            </w:pPr>
          </w:p>
          <w:p>
            <w:pPr>
              <w:spacing w:line="360" w:lineRule="auto"/>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 xml:space="preserve">           </w:t>
            </w:r>
          </w:p>
        </w:tc>
        <w:tc>
          <w:tcPr>
            <w:tcW w:w="4390" w:type="dxa"/>
          </w:tcPr>
          <w:p>
            <w:pPr>
              <w:spacing w:line="360" w:lineRule="auto"/>
              <w:rPr>
                <w:rFonts w:hint="eastAsia" w:ascii="仿宋" w:hAnsi="仿宋" w:eastAsia="仿宋" w:cs="仿宋"/>
                <w:color w:val="000000" w:themeColor="text1"/>
                <w:sz w:val="24"/>
                <w:szCs w:val="22"/>
                <w:highlight w:val="none"/>
              </w:rPr>
            </w:pPr>
          </w:p>
          <w:p>
            <w:pPr>
              <w:spacing w:line="360" w:lineRule="auto"/>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 xml:space="preserve">          </w:t>
            </w:r>
          </w:p>
        </w:tc>
      </w:tr>
    </w:tbl>
    <w:p>
      <w:pPr>
        <w:rPr>
          <w:rFonts w:hint="eastAsia" w:ascii="仿宋" w:hAnsi="仿宋" w:eastAsia="仿宋" w:cs="仿宋"/>
          <w:color w:val="000000" w:themeColor="text1"/>
          <w:highlight w:val="none"/>
        </w:rPr>
      </w:pPr>
    </w:p>
    <w:p>
      <w:pP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附：法定代表人、被授权委托人身份证正反面</w:t>
      </w:r>
    </w:p>
    <w:p>
      <w:pPr>
        <w:ind w:firstLine="240" w:firstLineChars="1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注：此授权书的有效期应与磋商响应文件有效期一致</w:t>
      </w:r>
    </w:p>
    <w:p>
      <w:pPr>
        <w:rPr>
          <w:rFonts w:hint="eastAsia" w:ascii="仿宋" w:hAnsi="仿宋" w:eastAsia="仿宋" w:cs="仿宋"/>
          <w:color w:val="000000" w:themeColor="text1"/>
          <w:sz w:val="30"/>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4200" w:firstLineChars="17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wordWrap w:val="0"/>
        <w:ind w:right="840" w:firstLine="4200" w:firstLineChars="1750"/>
        <w:rPr>
          <w:rFonts w:hint="eastAsia" w:ascii="仿宋" w:hAnsi="仿宋" w:eastAsia="仿宋" w:cs="仿宋"/>
          <w:color w:val="000000" w:themeColor="text1"/>
          <w:sz w:val="24"/>
          <w:highlight w:val="none"/>
          <w:u w:val="single"/>
        </w:rPr>
      </w:pPr>
    </w:p>
    <w:p>
      <w:pPr>
        <w:ind w:right="360"/>
        <w:rPr>
          <w:rFonts w:hint="eastAsia" w:ascii="仿宋" w:hAnsi="仿宋" w:eastAsia="仿宋" w:cs="仿宋"/>
          <w:color w:val="000000" w:themeColor="text1"/>
          <w:sz w:val="24"/>
          <w:highlight w:val="none"/>
          <w:u w:val="single"/>
        </w:rPr>
      </w:pPr>
    </w:p>
    <w:p>
      <w:pPr>
        <w:spacing w:line="600" w:lineRule="auto"/>
        <w:jc w:val="center"/>
        <w:rPr>
          <w:rFonts w:hint="eastAsia" w:ascii="仿宋" w:hAnsi="仿宋" w:eastAsia="仿宋" w:cs="仿宋"/>
          <w:b/>
          <w:color w:val="000000" w:themeColor="text1"/>
          <w:sz w:val="28"/>
          <w:szCs w:val="28"/>
          <w:highlight w:val="none"/>
        </w:rPr>
      </w:pPr>
      <w:bookmarkStart w:id="162" w:name="_Toc423025062"/>
    </w:p>
    <w:p>
      <w:pPr>
        <w:spacing w:line="600" w:lineRule="auto"/>
        <w:jc w:val="center"/>
        <w:rPr>
          <w:rFonts w:hint="eastAsia" w:ascii="仿宋" w:hAnsi="仿宋" w:eastAsia="仿宋" w:cs="仿宋"/>
          <w:b/>
          <w:color w:val="000000" w:themeColor="text1"/>
          <w:sz w:val="28"/>
          <w:szCs w:val="28"/>
          <w:highlight w:val="none"/>
        </w:rPr>
      </w:pPr>
    </w:p>
    <w:p>
      <w:pPr>
        <w:spacing w:line="600" w:lineRule="auto"/>
        <w:jc w:val="center"/>
        <w:rPr>
          <w:rFonts w:hint="eastAsia" w:ascii="仿宋" w:hAnsi="仿宋" w:eastAsia="仿宋" w:cs="仿宋"/>
          <w:b/>
          <w:color w:val="000000" w:themeColor="text1"/>
          <w:sz w:val="28"/>
          <w:szCs w:val="28"/>
          <w:highlight w:val="none"/>
        </w:rPr>
      </w:pPr>
    </w:p>
    <w:p>
      <w:pPr>
        <w:spacing w:line="600" w:lineRule="auto"/>
        <w:jc w:val="center"/>
        <w:outlineLvl w:val="1"/>
        <w:rPr>
          <w:rFonts w:hint="eastAsia" w:ascii="仿宋" w:hAnsi="仿宋" w:eastAsia="仿宋" w:cs="仿宋"/>
          <w:b/>
          <w:color w:val="000000" w:themeColor="text1"/>
          <w:sz w:val="30"/>
          <w:szCs w:val="30"/>
          <w:highlight w:val="none"/>
        </w:rPr>
      </w:pPr>
      <w:bookmarkStart w:id="163" w:name="_Toc25753"/>
      <w:bookmarkStart w:id="164" w:name="_Toc31898"/>
      <w:bookmarkStart w:id="165" w:name="_Toc21614"/>
      <w:bookmarkStart w:id="166" w:name="_Toc5872"/>
      <w:r>
        <w:rPr>
          <w:rFonts w:hint="eastAsia" w:ascii="仿宋" w:hAnsi="仿宋" w:eastAsia="仿宋" w:cs="仿宋"/>
          <w:b/>
          <w:color w:val="000000" w:themeColor="text1"/>
          <w:sz w:val="30"/>
          <w:szCs w:val="30"/>
          <w:highlight w:val="none"/>
        </w:rPr>
        <w:t>附件4  磋商保证金缴纳凭证</w:t>
      </w:r>
      <w:bookmarkEnd w:id="163"/>
      <w:bookmarkEnd w:id="164"/>
      <w:bookmarkEnd w:id="165"/>
      <w:bookmarkEnd w:id="166"/>
    </w:p>
    <w:p>
      <w:pPr>
        <w:spacing w:line="360" w:lineRule="auto"/>
        <w:ind w:left="315" w:leftChars="150" w:firstLine="436" w:firstLineChars="200"/>
        <w:rPr>
          <w:rFonts w:hint="eastAsia" w:ascii="仿宋" w:hAnsi="仿宋" w:eastAsia="仿宋" w:cs="仿宋"/>
          <w:color w:val="000000" w:themeColor="text1"/>
          <w:spacing w:val="4"/>
          <w:szCs w:val="21"/>
          <w:highlight w:val="none"/>
        </w:rPr>
      </w:pPr>
      <w:r>
        <w:rPr>
          <w:rFonts w:hint="eastAsia" w:ascii="仿宋" w:hAnsi="仿宋" w:eastAsia="仿宋" w:cs="仿宋"/>
          <w:color w:val="000000" w:themeColor="text1"/>
          <w:spacing w:val="4"/>
          <w:szCs w:val="21"/>
          <w:highlight w:val="none"/>
        </w:rPr>
        <w:t>磋商保证金金额、提交时间及提交形式请按照 “投标须知前附表”及“投标须知”中相关规定执行。</w:t>
      </w:r>
    </w:p>
    <w:tbl>
      <w:tblPr>
        <w:tblStyle w:val="47"/>
        <w:tblW w:w="8280"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828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5573" w:hRule="atLeast"/>
          <w:jc w:val="center"/>
        </w:trPr>
        <w:tc>
          <w:tcPr>
            <w:tcW w:w="8280" w:type="dxa"/>
            <w:vAlign w:val="center"/>
          </w:tcPr>
          <w:p>
            <w:pPr>
              <w:spacing w:line="44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粘贴处</w:t>
            </w:r>
          </w:p>
        </w:tc>
      </w:tr>
    </w:tbl>
    <w:p>
      <w:pPr>
        <w:spacing w:line="440" w:lineRule="exact"/>
        <w:ind w:firstLine="1312" w:firstLineChars="297"/>
        <w:rPr>
          <w:rFonts w:hint="eastAsia" w:ascii="仿宋" w:hAnsi="仿宋" w:eastAsia="仿宋" w:cs="仿宋"/>
          <w:b/>
          <w:color w:val="000000" w:themeColor="text1"/>
          <w:sz w:val="44"/>
          <w:szCs w:val="44"/>
          <w:highlight w:val="none"/>
        </w:rPr>
      </w:pPr>
    </w:p>
    <w:p>
      <w:pPr>
        <w:spacing w:line="460" w:lineRule="exact"/>
        <w:ind w:firstLine="470" w:firstLineChars="196"/>
        <w:rPr>
          <w:rFonts w:hint="eastAsia" w:ascii="仿宋" w:hAnsi="仿宋" w:eastAsia="仿宋" w:cs="仿宋"/>
          <w:color w:val="000000" w:themeColor="text1"/>
          <w:sz w:val="24"/>
          <w:highlight w:val="none"/>
        </w:rPr>
      </w:pPr>
    </w:p>
    <w:p>
      <w:pPr>
        <w:spacing w:line="440" w:lineRule="exact"/>
        <w:rPr>
          <w:rFonts w:hint="eastAsia" w:ascii="仿宋" w:hAnsi="仿宋" w:eastAsia="仿宋" w:cs="仿宋"/>
          <w:b/>
          <w:color w:val="000000" w:themeColor="text1"/>
          <w:sz w:val="24"/>
          <w:highlight w:val="none"/>
        </w:rPr>
      </w:pPr>
      <w:r>
        <w:rPr>
          <w:rFonts w:hint="eastAsia" w:ascii="仿宋" w:hAnsi="仿宋" w:eastAsia="仿宋" w:cs="仿宋"/>
          <w:color w:val="000000" w:themeColor="text1"/>
          <w:szCs w:val="21"/>
          <w:highlight w:val="none"/>
        </w:rPr>
        <w:t>注：提供的上述材料的复印件必须清楚，内容齐全，真实可靠，否则由此引发的责任风险将有投标人承担。</w:t>
      </w:r>
    </w:p>
    <w:p>
      <w:pPr>
        <w:pStyle w:val="4"/>
        <w:adjustRightInd w:val="0"/>
        <w:spacing w:line="360" w:lineRule="auto"/>
        <w:textAlignment w:val="baseline"/>
        <w:rPr>
          <w:rFonts w:hint="eastAsia" w:ascii="仿宋" w:hAnsi="仿宋" w:eastAsia="仿宋" w:cs="仿宋"/>
          <w:color w:val="000000" w:themeColor="text1"/>
          <w:highlight w:val="none"/>
        </w:rPr>
      </w:pPr>
    </w:p>
    <w:p>
      <w:pPr>
        <w:spacing w:line="0" w:lineRule="atLeast"/>
        <w:jc w:val="left"/>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附：</w:t>
      </w:r>
    </w:p>
    <w:p>
      <w:pPr>
        <w:pStyle w:val="308"/>
        <w:widowControl/>
        <w:jc w:val="center"/>
        <w:rPr>
          <w:rFonts w:hint="eastAsia" w:ascii="仿宋" w:hAnsi="仿宋" w:eastAsia="仿宋" w:cs="仿宋"/>
          <w:b/>
          <w:color w:val="000000" w:themeColor="text1"/>
          <w:sz w:val="30"/>
          <w:szCs w:val="30"/>
          <w:highlight w:val="none"/>
        </w:rPr>
      </w:pPr>
    </w:p>
    <w:p>
      <w:pPr>
        <w:pStyle w:val="308"/>
        <w:widowControl/>
        <w:jc w:val="center"/>
        <w:rPr>
          <w:rFonts w:hint="eastAsia" w:ascii="仿宋" w:hAnsi="仿宋" w:eastAsia="仿宋" w:cs="仿宋"/>
          <w:color w:val="000000" w:themeColor="text1"/>
          <w:sz w:val="30"/>
          <w:szCs w:val="30"/>
          <w:highlight w:val="none"/>
        </w:rPr>
      </w:pPr>
      <w:r>
        <w:rPr>
          <w:rFonts w:hint="eastAsia" w:ascii="仿宋" w:hAnsi="仿宋" w:eastAsia="仿宋" w:cs="仿宋"/>
          <w:b/>
          <w:color w:val="000000" w:themeColor="text1"/>
          <w:sz w:val="30"/>
          <w:szCs w:val="30"/>
          <w:highlight w:val="none"/>
        </w:rPr>
        <w:t>基本户银行开户许可证</w:t>
      </w:r>
    </w:p>
    <w:p>
      <w:pPr>
        <w:pStyle w:val="308"/>
        <w:widowControl/>
        <w:jc w:val="center"/>
        <w:rPr>
          <w:rFonts w:hint="eastAsia" w:ascii="仿宋" w:hAnsi="仿宋" w:eastAsia="仿宋" w:cs="仿宋"/>
          <w:color w:val="000000" w:themeColor="text1"/>
          <w:sz w:val="24"/>
          <w:szCs w:val="18"/>
          <w:highlight w:val="none"/>
        </w:rPr>
      </w:pPr>
    </w:p>
    <w:p>
      <w:pPr>
        <w:spacing w:line="0" w:lineRule="atLeast"/>
        <w:ind w:left="2340"/>
        <w:rPr>
          <w:rFonts w:hint="eastAsia" w:ascii="仿宋" w:hAnsi="仿宋" w:eastAsia="仿宋" w:cs="仿宋"/>
          <w:color w:val="000000" w:themeColor="text1"/>
          <w:sz w:val="24"/>
          <w:szCs w:val="18"/>
          <w:highlight w:val="none"/>
        </w:rPr>
      </w:pPr>
    </w:p>
    <w:p>
      <w:pPr>
        <w:spacing w:line="0" w:lineRule="atLeast"/>
        <w:ind w:left="2340"/>
        <w:rPr>
          <w:rFonts w:hint="eastAsia" w:ascii="仿宋" w:hAnsi="仿宋" w:eastAsia="仿宋" w:cs="仿宋"/>
          <w:color w:val="000000" w:themeColor="text1"/>
          <w:sz w:val="24"/>
          <w:szCs w:val="18"/>
          <w:highlight w:val="none"/>
        </w:rPr>
      </w:pPr>
    </w:p>
    <w:p>
      <w:pPr>
        <w:pStyle w:val="4"/>
        <w:widowControl/>
        <w:adjustRightInd w:val="0"/>
        <w:spacing w:line="360" w:lineRule="auto"/>
        <w:jc w:val="center"/>
        <w:textAlignment w:val="baseline"/>
        <w:rPr>
          <w:rFonts w:hint="eastAsia" w:ascii="仿宋" w:hAnsi="仿宋" w:eastAsia="仿宋" w:cs="仿宋"/>
          <w:color w:val="000000" w:themeColor="text1"/>
          <w:highlight w:val="none"/>
        </w:rPr>
      </w:pPr>
      <w:bookmarkStart w:id="167" w:name="_Toc27848"/>
      <w:bookmarkStart w:id="168" w:name="_Toc30605"/>
      <w:bookmarkStart w:id="169" w:name="_Toc13642"/>
      <w:r>
        <w:rPr>
          <w:rFonts w:hint="eastAsia" w:ascii="仿宋" w:hAnsi="仿宋" w:eastAsia="仿宋" w:cs="仿宋"/>
          <w:b w:val="0"/>
          <w:bCs/>
          <w:color w:val="000000" w:themeColor="text1"/>
          <w:sz w:val="24"/>
          <w:highlight w:val="none"/>
        </w:rPr>
        <w:t>提供基本户银行开户许可证复印件加盖公章</w:t>
      </w:r>
      <w:bookmarkEnd w:id="167"/>
      <w:bookmarkEnd w:id="168"/>
      <w:bookmarkEnd w:id="169"/>
    </w:p>
    <w:p>
      <w:pPr>
        <w:pStyle w:val="4"/>
        <w:adjustRightInd w:val="0"/>
        <w:spacing w:line="360" w:lineRule="auto"/>
        <w:textAlignment w:val="baseline"/>
        <w:rPr>
          <w:rFonts w:hint="eastAsia" w:ascii="仿宋" w:hAnsi="仿宋" w:eastAsia="仿宋" w:cs="仿宋"/>
          <w:color w:val="000000" w:themeColor="text1"/>
          <w:highlight w:val="none"/>
        </w:rPr>
      </w:pPr>
    </w:p>
    <w:p>
      <w:pPr>
        <w:pStyle w:val="4"/>
        <w:adjustRightInd w:val="0"/>
        <w:spacing w:line="360" w:lineRule="auto"/>
        <w:textAlignment w:val="baseline"/>
        <w:rPr>
          <w:rFonts w:hint="eastAsia" w:ascii="仿宋" w:hAnsi="仿宋" w:eastAsia="仿宋" w:cs="仿宋"/>
          <w:color w:val="000000" w:themeColor="text1"/>
          <w:highlight w:val="none"/>
        </w:rPr>
      </w:pPr>
    </w:p>
    <w:p>
      <w:pPr>
        <w:pStyle w:val="4"/>
        <w:adjustRightInd w:val="0"/>
        <w:spacing w:line="360" w:lineRule="auto"/>
        <w:jc w:val="center"/>
        <w:textAlignment w:val="baseline"/>
        <w:rPr>
          <w:rFonts w:hint="eastAsia" w:ascii="仿宋" w:hAnsi="仿宋" w:eastAsia="仿宋" w:cs="仿宋"/>
          <w:color w:val="000000" w:themeColor="text1"/>
          <w:sz w:val="30"/>
          <w:szCs w:val="30"/>
          <w:highlight w:val="none"/>
        </w:rPr>
      </w:pPr>
      <w:r>
        <w:rPr>
          <w:rFonts w:hint="eastAsia" w:ascii="仿宋" w:hAnsi="仿宋" w:eastAsia="仿宋" w:cs="仿宋"/>
          <w:color w:val="000000" w:themeColor="text1"/>
          <w:highlight w:val="none"/>
        </w:rPr>
        <w:br w:type="page"/>
      </w:r>
      <w:bookmarkStart w:id="170" w:name="_Toc24924"/>
      <w:bookmarkStart w:id="171" w:name="_Toc260"/>
      <w:bookmarkStart w:id="172" w:name="_Toc19595"/>
      <w:bookmarkStart w:id="173" w:name="_Toc12765"/>
      <w:r>
        <w:rPr>
          <w:rFonts w:hint="eastAsia" w:ascii="仿宋" w:hAnsi="仿宋" w:eastAsia="仿宋" w:cs="仿宋"/>
          <w:color w:val="000000" w:themeColor="text1"/>
          <w:sz w:val="30"/>
          <w:szCs w:val="30"/>
          <w:highlight w:val="none"/>
        </w:rPr>
        <w:t>附件5  近三年类似项目业绩表</w:t>
      </w:r>
      <w:bookmarkEnd w:id="162"/>
      <w:bookmarkEnd w:id="170"/>
      <w:bookmarkEnd w:id="171"/>
      <w:bookmarkEnd w:id="172"/>
      <w:bookmarkEnd w:id="173"/>
    </w:p>
    <w:tbl>
      <w:tblPr>
        <w:tblStyle w:val="47"/>
        <w:tblW w:w="937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9"/>
        <w:gridCol w:w="1099"/>
        <w:gridCol w:w="2835"/>
        <w:gridCol w:w="1470"/>
        <w:gridCol w:w="1680"/>
        <w:gridCol w:w="1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序号</w:t>
            </w:r>
          </w:p>
        </w:tc>
        <w:tc>
          <w:tcPr>
            <w:tcW w:w="1099" w:type="dxa"/>
            <w:vAlign w:val="center"/>
          </w:tcPr>
          <w:p>
            <w:pPr>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项目名称</w:t>
            </w:r>
          </w:p>
        </w:tc>
        <w:tc>
          <w:tcPr>
            <w:tcW w:w="2835" w:type="dxa"/>
            <w:vAlign w:val="center"/>
          </w:tcPr>
          <w:p>
            <w:pPr>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项目内容</w:t>
            </w:r>
          </w:p>
          <w:p>
            <w:pPr>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（类似项目/相关项目）</w:t>
            </w:r>
          </w:p>
        </w:tc>
        <w:tc>
          <w:tcPr>
            <w:tcW w:w="1470"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完成日期</w:t>
            </w:r>
          </w:p>
        </w:tc>
        <w:tc>
          <w:tcPr>
            <w:tcW w:w="1680" w:type="dxa"/>
            <w:vAlign w:val="center"/>
          </w:tcPr>
          <w:p>
            <w:pPr>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质量</w:t>
            </w:r>
          </w:p>
        </w:tc>
        <w:tc>
          <w:tcPr>
            <w:tcW w:w="1680" w:type="dxa"/>
            <w:vAlign w:val="center"/>
          </w:tcPr>
          <w:p>
            <w:pPr>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业主名称、</w:t>
            </w:r>
          </w:p>
          <w:p>
            <w:pPr>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1</w:t>
            </w:r>
          </w:p>
        </w:tc>
        <w:tc>
          <w:tcPr>
            <w:tcW w:w="1099" w:type="dxa"/>
            <w:vAlign w:val="center"/>
          </w:tcPr>
          <w:p>
            <w:pPr>
              <w:jc w:val="center"/>
              <w:rPr>
                <w:rFonts w:hint="eastAsia" w:ascii="仿宋" w:hAnsi="仿宋" w:eastAsia="仿宋" w:cs="仿宋"/>
                <w:b/>
                <w:bCs/>
                <w:color w:val="000000" w:themeColor="text1"/>
                <w:szCs w:val="21"/>
                <w:highlight w:val="none"/>
              </w:rPr>
            </w:pPr>
          </w:p>
        </w:tc>
        <w:tc>
          <w:tcPr>
            <w:tcW w:w="2835" w:type="dxa"/>
            <w:vAlign w:val="center"/>
          </w:tcPr>
          <w:p>
            <w:pPr>
              <w:jc w:val="center"/>
              <w:rPr>
                <w:rFonts w:hint="eastAsia" w:ascii="仿宋" w:hAnsi="仿宋" w:eastAsia="仿宋" w:cs="仿宋"/>
                <w:b/>
                <w:bCs/>
                <w:color w:val="000000" w:themeColor="text1"/>
                <w:szCs w:val="21"/>
                <w:highlight w:val="none"/>
              </w:rPr>
            </w:pPr>
          </w:p>
        </w:tc>
        <w:tc>
          <w:tcPr>
            <w:tcW w:w="1470"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Cs w:val="21"/>
                <w:highlight w:val="none"/>
              </w:rPr>
            </w:pPr>
          </w:p>
        </w:tc>
        <w:tc>
          <w:tcPr>
            <w:tcW w:w="1680" w:type="dxa"/>
            <w:vAlign w:val="center"/>
          </w:tcPr>
          <w:p>
            <w:pPr>
              <w:jc w:val="center"/>
              <w:rPr>
                <w:rFonts w:hint="eastAsia" w:ascii="仿宋" w:hAnsi="仿宋" w:eastAsia="仿宋" w:cs="仿宋"/>
                <w:b/>
                <w:bCs/>
                <w:color w:val="000000" w:themeColor="text1"/>
                <w:szCs w:val="21"/>
                <w:highlight w:val="none"/>
              </w:rPr>
            </w:pPr>
          </w:p>
        </w:tc>
        <w:tc>
          <w:tcPr>
            <w:tcW w:w="1680" w:type="dxa"/>
          </w:tcPr>
          <w:p>
            <w:pPr>
              <w:jc w:val="center"/>
              <w:rPr>
                <w:rFonts w:hint="eastAsia" w:ascii="仿宋" w:hAnsi="仿宋" w:eastAsia="仿宋" w:cs="仿宋"/>
                <w:b/>
                <w:bCs/>
                <w:color w:val="000000" w:themeColor="text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2</w:t>
            </w:r>
          </w:p>
        </w:tc>
        <w:tc>
          <w:tcPr>
            <w:tcW w:w="1099" w:type="dxa"/>
            <w:vAlign w:val="center"/>
          </w:tcPr>
          <w:p>
            <w:pPr>
              <w:jc w:val="center"/>
              <w:rPr>
                <w:rFonts w:hint="eastAsia" w:ascii="仿宋" w:hAnsi="仿宋" w:eastAsia="仿宋" w:cs="仿宋"/>
                <w:b/>
                <w:bCs/>
                <w:color w:val="000000" w:themeColor="text1"/>
                <w:szCs w:val="21"/>
                <w:highlight w:val="none"/>
              </w:rPr>
            </w:pPr>
          </w:p>
        </w:tc>
        <w:tc>
          <w:tcPr>
            <w:tcW w:w="2835" w:type="dxa"/>
            <w:vAlign w:val="center"/>
          </w:tcPr>
          <w:p>
            <w:pPr>
              <w:jc w:val="center"/>
              <w:rPr>
                <w:rFonts w:hint="eastAsia" w:ascii="仿宋" w:hAnsi="仿宋" w:eastAsia="仿宋" w:cs="仿宋"/>
                <w:b/>
                <w:bCs/>
                <w:color w:val="000000" w:themeColor="text1"/>
                <w:szCs w:val="21"/>
                <w:highlight w:val="none"/>
              </w:rPr>
            </w:pPr>
          </w:p>
        </w:tc>
        <w:tc>
          <w:tcPr>
            <w:tcW w:w="1470"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Cs w:val="21"/>
                <w:highlight w:val="none"/>
              </w:rPr>
            </w:pPr>
          </w:p>
        </w:tc>
        <w:tc>
          <w:tcPr>
            <w:tcW w:w="1680" w:type="dxa"/>
            <w:vAlign w:val="center"/>
          </w:tcPr>
          <w:p>
            <w:pPr>
              <w:jc w:val="center"/>
              <w:rPr>
                <w:rFonts w:hint="eastAsia" w:ascii="仿宋" w:hAnsi="仿宋" w:eastAsia="仿宋" w:cs="仿宋"/>
                <w:b/>
                <w:bCs/>
                <w:color w:val="000000" w:themeColor="text1"/>
                <w:szCs w:val="21"/>
                <w:highlight w:val="none"/>
              </w:rPr>
            </w:pPr>
          </w:p>
        </w:tc>
        <w:tc>
          <w:tcPr>
            <w:tcW w:w="1680" w:type="dxa"/>
          </w:tcPr>
          <w:p>
            <w:pPr>
              <w:jc w:val="center"/>
              <w:rPr>
                <w:rFonts w:hint="eastAsia" w:ascii="仿宋" w:hAnsi="仿宋" w:eastAsia="仿宋" w:cs="仿宋"/>
                <w:b/>
                <w:bCs/>
                <w:color w:val="000000" w:themeColor="text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3</w:t>
            </w:r>
          </w:p>
        </w:tc>
        <w:tc>
          <w:tcPr>
            <w:tcW w:w="1099" w:type="dxa"/>
            <w:vAlign w:val="center"/>
          </w:tcPr>
          <w:p>
            <w:pPr>
              <w:jc w:val="center"/>
              <w:rPr>
                <w:rFonts w:hint="eastAsia" w:ascii="仿宋" w:hAnsi="仿宋" w:eastAsia="仿宋" w:cs="仿宋"/>
                <w:b/>
                <w:bCs/>
                <w:color w:val="000000" w:themeColor="text1"/>
                <w:szCs w:val="21"/>
                <w:highlight w:val="none"/>
              </w:rPr>
            </w:pPr>
          </w:p>
        </w:tc>
        <w:tc>
          <w:tcPr>
            <w:tcW w:w="2835" w:type="dxa"/>
            <w:vAlign w:val="center"/>
          </w:tcPr>
          <w:p>
            <w:pPr>
              <w:jc w:val="center"/>
              <w:rPr>
                <w:rFonts w:hint="eastAsia" w:ascii="仿宋" w:hAnsi="仿宋" w:eastAsia="仿宋" w:cs="仿宋"/>
                <w:b/>
                <w:bCs/>
                <w:color w:val="000000" w:themeColor="text1"/>
                <w:szCs w:val="21"/>
                <w:highlight w:val="none"/>
              </w:rPr>
            </w:pPr>
          </w:p>
        </w:tc>
        <w:tc>
          <w:tcPr>
            <w:tcW w:w="1470"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Cs w:val="21"/>
                <w:highlight w:val="none"/>
              </w:rPr>
            </w:pPr>
          </w:p>
        </w:tc>
        <w:tc>
          <w:tcPr>
            <w:tcW w:w="1680" w:type="dxa"/>
            <w:vAlign w:val="center"/>
          </w:tcPr>
          <w:p>
            <w:pPr>
              <w:jc w:val="center"/>
              <w:rPr>
                <w:rFonts w:hint="eastAsia" w:ascii="仿宋" w:hAnsi="仿宋" w:eastAsia="仿宋" w:cs="仿宋"/>
                <w:b/>
                <w:bCs/>
                <w:color w:val="000000" w:themeColor="text1"/>
                <w:szCs w:val="21"/>
                <w:highlight w:val="none"/>
              </w:rPr>
            </w:pPr>
          </w:p>
        </w:tc>
        <w:tc>
          <w:tcPr>
            <w:tcW w:w="1680" w:type="dxa"/>
          </w:tcPr>
          <w:p>
            <w:pPr>
              <w:jc w:val="center"/>
              <w:rPr>
                <w:rFonts w:hint="eastAsia" w:ascii="仿宋" w:hAnsi="仿宋" w:eastAsia="仿宋" w:cs="仿宋"/>
                <w:b/>
                <w:bCs/>
                <w:color w:val="000000" w:themeColor="text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4</w:t>
            </w:r>
          </w:p>
        </w:tc>
        <w:tc>
          <w:tcPr>
            <w:tcW w:w="1099" w:type="dxa"/>
            <w:vAlign w:val="center"/>
          </w:tcPr>
          <w:p>
            <w:pPr>
              <w:jc w:val="center"/>
              <w:rPr>
                <w:rFonts w:hint="eastAsia" w:ascii="仿宋" w:hAnsi="仿宋" w:eastAsia="仿宋" w:cs="仿宋"/>
                <w:b/>
                <w:bCs/>
                <w:color w:val="000000" w:themeColor="text1"/>
                <w:szCs w:val="21"/>
                <w:highlight w:val="none"/>
              </w:rPr>
            </w:pPr>
          </w:p>
        </w:tc>
        <w:tc>
          <w:tcPr>
            <w:tcW w:w="2835" w:type="dxa"/>
            <w:vAlign w:val="center"/>
          </w:tcPr>
          <w:p>
            <w:pPr>
              <w:jc w:val="center"/>
              <w:rPr>
                <w:rFonts w:hint="eastAsia" w:ascii="仿宋" w:hAnsi="仿宋" w:eastAsia="仿宋" w:cs="仿宋"/>
                <w:b/>
                <w:bCs/>
                <w:color w:val="000000" w:themeColor="text1"/>
                <w:szCs w:val="21"/>
                <w:highlight w:val="none"/>
              </w:rPr>
            </w:pPr>
          </w:p>
        </w:tc>
        <w:tc>
          <w:tcPr>
            <w:tcW w:w="1470"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Cs w:val="21"/>
                <w:highlight w:val="none"/>
              </w:rPr>
            </w:pPr>
          </w:p>
        </w:tc>
        <w:tc>
          <w:tcPr>
            <w:tcW w:w="1680" w:type="dxa"/>
            <w:vAlign w:val="center"/>
          </w:tcPr>
          <w:p>
            <w:pPr>
              <w:jc w:val="center"/>
              <w:rPr>
                <w:rFonts w:hint="eastAsia" w:ascii="仿宋" w:hAnsi="仿宋" w:eastAsia="仿宋" w:cs="仿宋"/>
                <w:b/>
                <w:bCs/>
                <w:color w:val="000000" w:themeColor="text1"/>
                <w:szCs w:val="21"/>
                <w:highlight w:val="none"/>
              </w:rPr>
            </w:pPr>
          </w:p>
        </w:tc>
        <w:tc>
          <w:tcPr>
            <w:tcW w:w="1680" w:type="dxa"/>
          </w:tcPr>
          <w:p>
            <w:pPr>
              <w:jc w:val="center"/>
              <w:rPr>
                <w:rFonts w:hint="eastAsia" w:ascii="仿宋" w:hAnsi="仿宋" w:eastAsia="仿宋" w:cs="仿宋"/>
                <w:b/>
                <w:bCs/>
                <w:color w:val="000000" w:themeColor="text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5</w:t>
            </w:r>
          </w:p>
        </w:tc>
        <w:tc>
          <w:tcPr>
            <w:tcW w:w="1099" w:type="dxa"/>
            <w:vAlign w:val="center"/>
          </w:tcPr>
          <w:p>
            <w:pPr>
              <w:jc w:val="center"/>
              <w:rPr>
                <w:rFonts w:hint="eastAsia" w:ascii="仿宋" w:hAnsi="仿宋" w:eastAsia="仿宋" w:cs="仿宋"/>
                <w:b/>
                <w:bCs/>
                <w:color w:val="000000" w:themeColor="text1"/>
                <w:szCs w:val="21"/>
                <w:highlight w:val="none"/>
              </w:rPr>
            </w:pPr>
          </w:p>
        </w:tc>
        <w:tc>
          <w:tcPr>
            <w:tcW w:w="2835" w:type="dxa"/>
            <w:vAlign w:val="center"/>
          </w:tcPr>
          <w:p>
            <w:pPr>
              <w:jc w:val="center"/>
              <w:rPr>
                <w:rFonts w:hint="eastAsia" w:ascii="仿宋" w:hAnsi="仿宋" w:eastAsia="仿宋" w:cs="仿宋"/>
                <w:b/>
                <w:bCs/>
                <w:color w:val="000000" w:themeColor="text1"/>
                <w:szCs w:val="21"/>
                <w:highlight w:val="none"/>
              </w:rPr>
            </w:pPr>
          </w:p>
        </w:tc>
        <w:tc>
          <w:tcPr>
            <w:tcW w:w="1470"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Cs w:val="21"/>
                <w:highlight w:val="none"/>
              </w:rPr>
            </w:pPr>
          </w:p>
        </w:tc>
        <w:tc>
          <w:tcPr>
            <w:tcW w:w="1680" w:type="dxa"/>
            <w:vAlign w:val="center"/>
          </w:tcPr>
          <w:p>
            <w:pPr>
              <w:jc w:val="center"/>
              <w:rPr>
                <w:rFonts w:hint="eastAsia" w:ascii="仿宋" w:hAnsi="仿宋" w:eastAsia="仿宋" w:cs="仿宋"/>
                <w:b/>
                <w:bCs/>
                <w:color w:val="000000" w:themeColor="text1"/>
                <w:szCs w:val="21"/>
                <w:highlight w:val="none"/>
              </w:rPr>
            </w:pPr>
          </w:p>
        </w:tc>
        <w:tc>
          <w:tcPr>
            <w:tcW w:w="1680" w:type="dxa"/>
          </w:tcPr>
          <w:p>
            <w:pPr>
              <w:jc w:val="center"/>
              <w:rPr>
                <w:rFonts w:hint="eastAsia" w:ascii="仿宋" w:hAnsi="仿宋" w:eastAsia="仿宋" w:cs="仿宋"/>
                <w:b/>
                <w:bCs/>
                <w:color w:val="000000" w:themeColor="text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6</w:t>
            </w:r>
          </w:p>
        </w:tc>
        <w:tc>
          <w:tcPr>
            <w:tcW w:w="1099" w:type="dxa"/>
            <w:vAlign w:val="center"/>
          </w:tcPr>
          <w:p>
            <w:pPr>
              <w:jc w:val="center"/>
              <w:rPr>
                <w:rFonts w:hint="eastAsia" w:ascii="仿宋" w:hAnsi="仿宋" w:eastAsia="仿宋" w:cs="仿宋"/>
                <w:b/>
                <w:bCs/>
                <w:color w:val="000000" w:themeColor="text1"/>
                <w:szCs w:val="21"/>
                <w:highlight w:val="none"/>
              </w:rPr>
            </w:pPr>
          </w:p>
        </w:tc>
        <w:tc>
          <w:tcPr>
            <w:tcW w:w="2835" w:type="dxa"/>
            <w:vAlign w:val="center"/>
          </w:tcPr>
          <w:p>
            <w:pPr>
              <w:jc w:val="center"/>
              <w:rPr>
                <w:rFonts w:hint="eastAsia" w:ascii="仿宋" w:hAnsi="仿宋" w:eastAsia="仿宋" w:cs="仿宋"/>
                <w:b/>
                <w:bCs/>
                <w:color w:val="000000" w:themeColor="text1"/>
                <w:szCs w:val="21"/>
                <w:highlight w:val="none"/>
              </w:rPr>
            </w:pPr>
          </w:p>
        </w:tc>
        <w:tc>
          <w:tcPr>
            <w:tcW w:w="1470"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Cs w:val="21"/>
                <w:highlight w:val="none"/>
              </w:rPr>
            </w:pPr>
          </w:p>
        </w:tc>
        <w:tc>
          <w:tcPr>
            <w:tcW w:w="1680" w:type="dxa"/>
            <w:vAlign w:val="center"/>
          </w:tcPr>
          <w:p>
            <w:pPr>
              <w:jc w:val="center"/>
              <w:rPr>
                <w:rFonts w:hint="eastAsia" w:ascii="仿宋" w:hAnsi="仿宋" w:eastAsia="仿宋" w:cs="仿宋"/>
                <w:b/>
                <w:bCs/>
                <w:color w:val="000000" w:themeColor="text1"/>
                <w:szCs w:val="21"/>
                <w:highlight w:val="none"/>
              </w:rPr>
            </w:pPr>
          </w:p>
        </w:tc>
        <w:tc>
          <w:tcPr>
            <w:tcW w:w="1680" w:type="dxa"/>
          </w:tcPr>
          <w:p>
            <w:pPr>
              <w:jc w:val="center"/>
              <w:rPr>
                <w:rFonts w:hint="eastAsia" w:ascii="仿宋" w:hAnsi="仿宋" w:eastAsia="仿宋" w:cs="仿宋"/>
                <w:b/>
                <w:bCs/>
                <w:color w:val="000000" w:themeColor="text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rFonts w:hint="eastAsia" w:ascii="仿宋" w:hAnsi="仿宋" w:eastAsia="仿宋" w:cs="仿宋"/>
                <w:b/>
                <w:bCs/>
                <w:color w:val="000000" w:themeColor="text1"/>
                <w:szCs w:val="21"/>
                <w:highlight w:val="none"/>
              </w:rPr>
            </w:pPr>
            <w:r>
              <w:rPr>
                <w:rFonts w:hint="eastAsia" w:ascii="仿宋" w:hAnsi="仿宋" w:eastAsia="仿宋" w:cs="仿宋"/>
                <w:b/>
                <w:bCs/>
                <w:color w:val="000000" w:themeColor="text1"/>
                <w:szCs w:val="21"/>
                <w:highlight w:val="none"/>
              </w:rPr>
              <w:t>7</w:t>
            </w:r>
          </w:p>
        </w:tc>
        <w:tc>
          <w:tcPr>
            <w:tcW w:w="1099" w:type="dxa"/>
            <w:vAlign w:val="center"/>
          </w:tcPr>
          <w:p>
            <w:pPr>
              <w:jc w:val="center"/>
              <w:rPr>
                <w:rFonts w:hint="eastAsia" w:ascii="仿宋" w:hAnsi="仿宋" w:eastAsia="仿宋" w:cs="仿宋"/>
                <w:b/>
                <w:bCs/>
                <w:color w:val="000000" w:themeColor="text1"/>
                <w:szCs w:val="21"/>
                <w:highlight w:val="none"/>
              </w:rPr>
            </w:pPr>
          </w:p>
        </w:tc>
        <w:tc>
          <w:tcPr>
            <w:tcW w:w="2835" w:type="dxa"/>
            <w:vAlign w:val="center"/>
          </w:tcPr>
          <w:p>
            <w:pPr>
              <w:jc w:val="center"/>
              <w:rPr>
                <w:rFonts w:hint="eastAsia" w:ascii="仿宋" w:hAnsi="仿宋" w:eastAsia="仿宋" w:cs="仿宋"/>
                <w:b/>
                <w:bCs/>
                <w:color w:val="000000" w:themeColor="text1"/>
                <w:szCs w:val="21"/>
                <w:highlight w:val="none"/>
              </w:rPr>
            </w:pPr>
          </w:p>
        </w:tc>
        <w:tc>
          <w:tcPr>
            <w:tcW w:w="1470" w:type="dxa"/>
            <w:tcBorders>
              <w:left w:val="single" w:color="auto" w:sz="4" w:space="0"/>
              <w:right w:val="single" w:color="auto" w:sz="4" w:space="0"/>
            </w:tcBorders>
            <w:vAlign w:val="center"/>
          </w:tcPr>
          <w:p>
            <w:pPr>
              <w:jc w:val="center"/>
              <w:rPr>
                <w:rFonts w:hint="eastAsia" w:ascii="仿宋" w:hAnsi="仿宋" w:eastAsia="仿宋" w:cs="仿宋"/>
                <w:b/>
                <w:bCs/>
                <w:color w:val="000000" w:themeColor="text1"/>
                <w:szCs w:val="21"/>
                <w:highlight w:val="none"/>
              </w:rPr>
            </w:pPr>
          </w:p>
        </w:tc>
        <w:tc>
          <w:tcPr>
            <w:tcW w:w="1680" w:type="dxa"/>
            <w:vAlign w:val="center"/>
          </w:tcPr>
          <w:p>
            <w:pPr>
              <w:jc w:val="center"/>
              <w:rPr>
                <w:rFonts w:hint="eastAsia" w:ascii="仿宋" w:hAnsi="仿宋" w:eastAsia="仿宋" w:cs="仿宋"/>
                <w:b/>
                <w:bCs/>
                <w:color w:val="000000" w:themeColor="text1"/>
                <w:szCs w:val="21"/>
                <w:highlight w:val="none"/>
              </w:rPr>
            </w:pPr>
          </w:p>
        </w:tc>
        <w:tc>
          <w:tcPr>
            <w:tcW w:w="1680" w:type="dxa"/>
          </w:tcPr>
          <w:p>
            <w:pPr>
              <w:jc w:val="center"/>
              <w:rPr>
                <w:rFonts w:hint="eastAsia" w:ascii="仿宋" w:hAnsi="仿宋" w:eastAsia="仿宋" w:cs="仿宋"/>
                <w:b/>
                <w:bCs/>
                <w:color w:val="000000" w:themeColor="text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w:t>
            </w:r>
          </w:p>
        </w:tc>
        <w:tc>
          <w:tcPr>
            <w:tcW w:w="1099" w:type="dxa"/>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w:t>
            </w:r>
          </w:p>
        </w:tc>
        <w:tc>
          <w:tcPr>
            <w:tcW w:w="2835" w:type="dxa"/>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w:t>
            </w:r>
          </w:p>
        </w:tc>
        <w:tc>
          <w:tcPr>
            <w:tcW w:w="1470" w:type="dxa"/>
            <w:tcBorders>
              <w:left w:val="single" w:color="auto" w:sz="4" w:space="0"/>
              <w:right w:val="single" w:color="auto" w:sz="4" w:space="0"/>
            </w:tcBorders>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w:t>
            </w:r>
          </w:p>
        </w:tc>
        <w:tc>
          <w:tcPr>
            <w:tcW w:w="1680" w:type="dxa"/>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w:t>
            </w:r>
          </w:p>
        </w:tc>
        <w:tc>
          <w:tcPr>
            <w:tcW w:w="1680" w:type="dxa"/>
            <w:vAlign w:val="center"/>
          </w:tcPr>
          <w:p>
            <w:pPr>
              <w:jc w:val="center"/>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w:t>
            </w:r>
          </w:p>
        </w:tc>
      </w:tr>
    </w:tbl>
    <w:p>
      <w:pPr>
        <w:rPr>
          <w:rFonts w:hint="eastAsia" w:ascii="仿宋" w:hAnsi="仿宋" w:eastAsia="仿宋" w:cs="仿宋"/>
          <w:color w:val="000000" w:themeColor="text1"/>
          <w:sz w:val="22"/>
          <w:highlight w:val="none"/>
        </w:rPr>
      </w:pPr>
    </w:p>
    <w:p>
      <w:pPr>
        <w:ind w:left="880" w:hanging="880" w:hangingChars="400"/>
        <w:rPr>
          <w:rFonts w:hint="eastAsia" w:ascii="仿宋" w:hAnsi="仿宋" w:eastAsia="仿宋" w:cs="仿宋"/>
          <w:color w:val="000000" w:themeColor="text1"/>
          <w:sz w:val="22"/>
          <w:highlight w:val="none"/>
        </w:rPr>
      </w:pPr>
      <w:r>
        <w:rPr>
          <w:rFonts w:hint="eastAsia" w:ascii="仿宋" w:hAnsi="仿宋" w:eastAsia="仿宋" w:cs="仿宋"/>
          <w:color w:val="000000" w:themeColor="text1"/>
          <w:sz w:val="22"/>
          <w:highlight w:val="none"/>
        </w:rPr>
        <w:t>注： 1、供应商应随此表附上相关的业绩证明（相关证明资料复印件加盖公章密封在响应文件中）。</w:t>
      </w:r>
    </w:p>
    <w:p>
      <w:pPr>
        <w:spacing w:line="360" w:lineRule="auto"/>
        <w:ind w:firstLine="550" w:firstLineChars="250"/>
        <w:rPr>
          <w:rFonts w:hint="eastAsia" w:ascii="仿宋" w:hAnsi="仿宋" w:eastAsia="仿宋" w:cs="仿宋"/>
          <w:color w:val="000000" w:themeColor="text1"/>
          <w:sz w:val="22"/>
          <w:highlight w:val="none"/>
        </w:rPr>
      </w:pPr>
      <w:r>
        <w:rPr>
          <w:rFonts w:hint="eastAsia" w:ascii="仿宋" w:hAnsi="仿宋" w:eastAsia="仿宋" w:cs="仿宋"/>
          <w:color w:val="000000" w:themeColor="text1"/>
          <w:sz w:val="22"/>
          <w:highlight w:val="none"/>
        </w:rPr>
        <w:t>2、如有多个类似项目，可按此表格扩展。</w:t>
      </w:r>
    </w:p>
    <w:p>
      <w:pPr>
        <w:spacing w:line="400" w:lineRule="atLeast"/>
        <w:ind w:left="720" w:hanging="720"/>
        <w:rPr>
          <w:rFonts w:hint="eastAsia" w:ascii="仿宋" w:hAnsi="仿宋" w:eastAsia="仿宋" w:cs="仿宋"/>
          <w:color w:val="000000" w:themeColor="text1"/>
          <w:sz w:val="24"/>
          <w:highlight w:val="none"/>
        </w:rPr>
      </w:pPr>
    </w:p>
    <w:p>
      <w:pPr>
        <w:spacing w:line="400" w:lineRule="atLeast"/>
        <w:ind w:left="720" w:hanging="720"/>
        <w:rPr>
          <w:rFonts w:hint="eastAsia" w:ascii="仿宋" w:hAnsi="仿宋" w:eastAsia="仿宋" w:cs="仿宋"/>
          <w:color w:val="000000" w:themeColor="text1"/>
          <w:sz w:val="24"/>
          <w:highlight w:val="none"/>
        </w:rPr>
      </w:pPr>
    </w:p>
    <w:p>
      <w:pPr>
        <w:spacing w:line="400" w:lineRule="atLeast"/>
        <w:ind w:left="720" w:hanging="720"/>
        <w:rPr>
          <w:rFonts w:hint="eastAsia" w:ascii="仿宋" w:hAnsi="仿宋" w:eastAsia="仿宋" w:cs="仿宋"/>
          <w:color w:val="000000" w:themeColor="text1"/>
          <w:sz w:val="24"/>
          <w:highlight w:val="none"/>
        </w:rPr>
      </w:pPr>
    </w:p>
    <w:p>
      <w:pPr>
        <w:spacing w:line="400" w:lineRule="atLeast"/>
        <w:ind w:left="720" w:hanging="720"/>
        <w:rPr>
          <w:rFonts w:hint="eastAsia" w:ascii="仿宋" w:hAnsi="仿宋" w:eastAsia="仿宋" w:cs="仿宋"/>
          <w:color w:val="000000" w:themeColor="text1"/>
          <w:sz w:val="24"/>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bookmarkStart w:id="174" w:name="_Toc492955471"/>
      <w:bookmarkStart w:id="175" w:name="_Toc497711597"/>
      <w:bookmarkStart w:id="176" w:name="_Toc497551832"/>
      <w:bookmarkStart w:id="177" w:name="_Toc497712145"/>
      <w:bookmarkStart w:id="178" w:name="_Toc497546930"/>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4200" w:firstLineChars="17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spacing w:line="400" w:lineRule="atLeast"/>
        <w:rPr>
          <w:rFonts w:hint="eastAsia" w:ascii="仿宋" w:hAnsi="仿宋" w:eastAsia="仿宋" w:cs="仿宋"/>
          <w:b/>
          <w:color w:val="000000" w:themeColor="text1"/>
          <w:sz w:val="24"/>
          <w:highlight w:val="none"/>
        </w:rPr>
      </w:pPr>
    </w:p>
    <w:p>
      <w:pPr>
        <w:spacing w:line="400" w:lineRule="atLeast"/>
        <w:rPr>
          <w:rFonts w:hint="eastAsia" w:ascii="仿宋" w:hAnsi="仿宋" w:eastAsia="仿宋" w:cs="仿宋"/>
          <w:b/>
          <w:color w:val="000000" w:themeColor="text1"/>
          <w:sz w:val="24"/>
          <w:highlight w:val="none"/>
        </w:rPr>
      </w:pPr>
    </w:p>
    <w:p>
      <w:pPr>
        <w:spacing w:line="400" w:lineRule="atLeast"/>
        <w:rPr>
          <w:rFonts w:hint="eastAsia" w:ascii="仿宋" w:hAnsi="仿宋" w:eastAsia="仿宋" w:cs="仿宋"/>
          <w:b/>
          <w:color w:val="000000" w:themeColor="text1"/>
          <w:sz w:val="24"/>
          <w:highlight w:val="none"/>
        </w:rPr>
      </w:pPr>
    </w:p>
    <w:p>
      <w:pPr>
        <w:spacing w:line="400" w:lineRule="atLeast"/>
        <w:rPr>
          <w:rFonts w:hint="eastAsia" w:ascii="仿宋" w:hAnsi="仿宋" w:eastAsia="仿宋" w:cs="仿宋"/>
          <w:b/>
          <w:color w:val="000000" w:themeColor="text1"/>
          <w:sz w:val="24"/>
          <w:highlight w:val="none"/>
        </w:rPr>
      </w:pPr>
    </w:p>
    <w:p>
      <w:pPr>
        <w:spacing w:line="400" w:lineRule="atLeast"/>
        <w:rPr>
          <w:rFonts w:hint="eastAsia" w:ascii="仿宋" w:hAnsi="仿宋" w:eastAsia="仿宋" w:cs="仿宋"/>
          <w:b/>
          <w:color w:val="000000" w:themeColor="text1"/>
          <w:sz w:val="24"/>
          <w:highlight w:val="none"/>
        </w:rPr>
      </w:pPr>
    </w:p>
    <w:p>
      <w:pPr>
        <w:pStyle w:val="4"/>
        <w:adjustRightInd w:val="0"/>
        <w:spacing w:line="360" w:lineRule="auto"/>
        <w:jc w:val="center"/>
        <w:textAlignment w:val="baseline"/>
        <w:rPr>
          <w:rFonts w:hint="eastAsia" w:ascii="仿宋" w:hAnsi="仿宋" w:eastAsia="仿宋" w:cs="仿宋"/>
          <w:color w:val="000000" w:themeColor="text1"/>
          <w:sz w:val="30"/>
          <w:szCs w:val="30"/>
          <w:highlight w:val="none"/>
        </w:rPr>
      </w:pPr>
      <w:bookmarkStart w:id="179" w:name="_Toc16923"/>
      <w:bookmarkStart w:id="180" w:name="_Toc423025063"/>
      <w:bookmarkStart w:id="181" w:name="_Toc24356"/>
      <w:bookmarkStart w:id="182" w:name="_Toc6160"/>
      <w:bookmarkStart w:id="183" w:name="_Toc24736"/>
      <w:r>
        <w:rPr>
          <w:rFonts w:hint="eastAsia" w:ascii="仿宋" w:hAnsi="仿宋" w:eastAsia="仿宋" w:cs="仿宋"/>
          <w:color w:val="000000" w:themeColor="text1"/>
          <w:sz w:val="30"/>
          <w:szCs w:val="30"/>
          <w:highlight w:val="none"/>
        </w:rPr>
        <w:t>附件6  供应商基本情况表</w:t>
      </w:r>
      <w:bookmarkEnd w:id="179"/>
      <w:bookmarkEnd w:id="180"/>
      <w:bookmarkEnd w:id="181"/>
      <w:bookmarkEnd w:id="182"/>
      <w:bookmarkEnd w:id="183"/>
    </w:p>
    <w:p>
      <w:pPr>
        <w:rPr>
          <w:rFonts w:hint="eastAsia" w:ascii="仿宋" w:hAnsi="仿宋" w:eastAsia="仿宋" w:cs="仿宋"/>
          <w:color w:val="000000" w:themeColor="text1"/>
          <w:highlight w:val="none"/>
        </w:rPr>
      </w:pPr>
    </w:p>
    <w:tbl>
      <w:tblPr>
        <w:tblStyle w:val="47"/>
        <w:tblW w:w="928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19"/>
        <w:gridCol w:w="32"/>
        <w:gridCol w:w="1951"/>
        <w:gridCol w:w="32"/>
        <w:gridCol w:w="1789"/>
        <w:gridCol w:w="32"/>
        <w:gridCol w:w="1789"/>
        <w:gridCol w:w="32"/>
        <w:gridCol w:w="17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919" w:type="dxa"/>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供应商名称</w:t>
            </w:r>
          </w:p>
        </w:tc>
        <w:tc>
          <w:tcPr>
            <w:tcW w:w="7369" w:type="dxa"/>
            <w:gridSpan w:val="8"/>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919" w:type="dxa"/>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注册地址</w:t>
            </w:r>
          </w:p>
        </w:tc>
        <w:tc>
          <w:tcPr>
            <w:tcW w:w="3804" w:type="dxa"/>
            <w:gridSpan w:val="4"/>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p>
        </w:tc>
        <w:tc>
          <w:tcPr>
            <w:tcW w:w="1821"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邮政编码</w:t>
            </w:r>
          </w:p>
        </w:tc>
        <w:tc>
          <w:tcPr>
            <w:tcW w:w="1744" w:type="dxa"/>
            <w:gridSpan w:val="2"/>
            <w:tcBorders>
              <w:tl2br w:val="nil"/>
              <w:tr2bl w:val="nil"/>
            </w:tcBorders>
            <w:vAlign w:val="center"/>
          </w:tcPr>
          <w:p>
            <w:pPr>
              <w:spacing w:line="440" w:lineRule="exact"/>
              <w:jc w:val="center"/>
              <w:rPr>
                <w:rFonts w:hint="eastAsia" w:ascii="仿宋" w:hAnsi="仿宋" w:eastAsia="仿宋" w:cs="仿宋"/>
                <w:color w:val="000000" w:themeColor="text1"/>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919" w:type="dxa"/>
            <w:vMerge w:val="restart"/>
            <w:tcBorders>
              <w:tl2br w:val="nil"/>
              <w:tr2bl w:val="nil"/>
            </w:tcBorders>
            <w:vAlign w:val="center"/>
          </w:tcPr>
          <w:p>
            <w:pPr>
              <w:spacing w:line="44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联系方式</w:t>
            </w:r>
          </w:p>
        </w:tc>
        <w:tc>
          <w:tcPr>
            <w:tcW w:w="1983"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联系人</w:t>
            </w:r>
          </w:p>
        </w:tc>
        <w:tc>
          <w:tcPr>
            <w:tcW w:w="1821"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p>
        </w:tc>
        <w:tc>
          <w:tcPr>
            <w:tcW w:w="1821"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电话</w:t>
            </w:r>
          </w:p>
        </w:tc>
        <w:tc>
          <w:tcPr>
            <w:tcW w:w="1744" w:type="dxa"/>
            <w:gridSpan w:val="2"/>
            <w:tcBorders>
              <w:tl2br w:val="nil"/>
              <w:tr2bl w:val="nil"/>
            </w:tcBorders>
            <w:vAlign w:val="center"/>
          </w:tcPr>
          <w:p>
            <w:pPr>
              <w:spacing w:line="440" w:lineRule="exact"/>
              <w:jc w:val="center"/>
              <w:rPr>
                <w:rFonts w:hint="eastAsia" w:ascii="仿宋" w:hAnsi="仿宋" w:eastAsia="仿宋" w:cs="仿宋"/>
                <w:color w:val="000000" w:themeColor="text1"/>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919" w:type="dxa"/>
            <w:vMerge w:val="continue"/>
            <w:tcBorders>
              <w:tl2br w:val="nil"/>
              <w:tr2bl w:val="nil"/>
            </w:tcBorders>
            <w:vAlign w:val="center"/>
          </w:tcPr>
          <w:p>
            <w:pPr>
              <w:rPr>
                <w:rFonts w:hint="eastAsia" w:ascii="仿宋" w:hAnsi="仿宋" w:eastAsia="仿宋" w:cs="仿宋"/>
                <w:color w:val="000000" w:themeColor="text1"/>
                <w:sz w:val="24"/>
                <w:szCs w:val="22"/>
                <w:highlight w:val="none"/>
              </w:rPr>
            </w:pPr>
          </w:p>
        </w:tc>
        <w:tc>
          <w:tcPr>
            <w:tcW w:w="1983"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传真</w:t>
            </w:r>
          </w:p>
        </w:tc>
        <w:tc>
          <w:tcPr>
            <w:tcW w:w="1821"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p>
        </w:tc>
        <w:tc>
          <w:tcPr>
            <w:tcW w:w="1821"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网址</w:t>
            </w:r>
          </w:p>
        </w:tc>
        <w:tc>
          <w:tcPr>
            <w:tcW w:w="1744" w:type="dxa"/>
            <w:gridSpan w:val="2"/>
            <w:tcBorders>
              <w:tl2br w:val="nil"/>
              <w:tr2bl w:val="nil"/>
            </w:tcBorders>
            <w:vAlign w:val="center"/>
          </w:tcPr>
          <w:p>
            <w:pPr>
              <w:spacing w:line="440" w:lineRule="exact"/>
              <w:jc w:val="center"/>
              <w:rPr>
                <w:rFonts w:hint="eastAsia" w:ascii="仿宋" w:hAnsi="仿宋" w:eastAsia="仿宋" w:cs="仿宋"/>
                <w:color w:val="000000" w:themeColor="text1"/>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919" w:type="dxa"/>
            <w:tcBorders>
              <w:tl2br w:val="nil"/>
              <w:tr2bl w:val="nil"/>
            </w:tcBorders>
            <w:vAlign w:val="center"/>
          </w:tcPr>
          <w:p>
            <w:pPr>
              <w:spacing w:line="44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单位性质</w:t>
            </w:r>
          </w:p>
        </w:tc>
        <w:tc>
          <w:tcPr>
            <w:tcW w:w="7369" w:type="dxa"/>
            <w:gridSpan w:val="8"/>
            <w:tcBorders>
              <w:tl2br w:val="nil"/>
              <w:tr2bl w:val="nil"/>
            </w:tcBorders>
            <w:vAlign w:val="center"/>
          </w:tcPr>
          <w:p>
            <w:pPr>
              <w:spacing w:line="440" w:lineRule="exact"/>
              <w:jc w:val="center"/>
              <w:rPr>
                <w:rFonts w:hint="eastAsia" w:ascii="仿宋" w:hAnsi="仿宋" w:eastAsia="仿宋" w:cs="仿宋"/>
                <w:color w:val="000000" w:themeColor="text1"/>
                <w:sz w:val="24"/>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919" w:type="dxa"/>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法定代表人</w:t>
            </w:r>
          </w:p>
        </w:tc>
        <w:tc>
          <w:tcPr>
            <w:tcW w:w="1983"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姓名</w:t>
            </w:r>
          </w:p>
        </w:tc>
        <w:tc>
          <w:tcPr>
            <w:tcW w:w="1821" w:type="dxa"/>
            <w:gridSpan w:val="2"/>
            <w:tcBorders>
              <w:tl2br w:val="nil"/>
              <w:tr2bl w:val="nil"/>
            </w:tcBorders>
            <w:vAlign w:val="center"/>
          </w:tcPr>
          <w:p>
            <w:pPr>
              <w:spacing w:line="440" w:lineRule="exact"/>
              <w:jc w:val="center"/>
              <w:rPr>
                <w:rFonts w:hint="eastAsia" w:ascii="仿宋" w:hAnsi="仿宋" w:eastAsia="仿宋" w:cs="仿宋"/>
                <w:color w:val="000000" w:themeColor="text1"/>
                <w:szCs w:val="22"/>
                <w:highlight w:val="none"/>
              </w:rPr>
            </w:pPr>
          </w:p>
        </w:tc>
        <w:tc>
          <w:tcPr>
            <w:tcW w:w="1821"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电话</w:t>
            </w:r>
          </w:p>
        </w:tc>
        <w:tc>
          <w:tcPr>
            <w:tcW w:w="1744" w:type="dxa"/>
            <w:gridSpan w:val="2"/>
            <w:tcBorders>
              <w:tl2br w:val="nil"/>
              <w:tr2bl w:val="nil"/>
            </w:tcBorders>
            <w:vAlign w:val="center"/>
          </w:tcPr>
          <w:p>
            <w:pPr>
              <w:spacing w:line="440" w:lineRule="exact"/>
              <w:jc w:val="center"/>
              <w:rPr>
                <w:rFonts w:hint="eastAsia" w:ascii="仿宋" w:hAnsi="仿宋" w:eastAsia="仿宋" w:cs="仿宋"/>
                <w:color w:val="000000" w:themeColor="text1"/>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5" w:hRule="exact"/>
          <w:jc w:val="center"/>
        </w:trPr>
        <w:tc>
          <w:tcPr>
            <w:tcW w:w="1919" w:type="dxa"/>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技术负责人</w:t>
            </w:r>
          </w:p>
        </w:tc>
        <w:tc>
          <w:tcPr>
            <w:tcW w:w="1983"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姓名</w:t>
            </w:r>
          </w:p>
        </w:tc>
        <w:tc>
          <w:tcPr>
            <w:tcW w:w="1821" w:type="dxa"/>
            <w:gridSpan w:val="2"/>
            <w:tcBorders>
              <w:tl2br w:val="nil"/>
              <w:tr2bl w:val="nil"/>
            </w:tcBorders>
            <w:vAlign w:val="center"/>
          </w:tcPr>
          <w:p>
            <w:pPr>
              <w:spacing w:line="440" w:lineRule="exact"/>
              <w:jc w:val="center"/>
              <w:rPr>
                <w:rFonts w:hint="eastAsia" w:ascii="仿宋" w:hAnsi="仿宋" w:eastAsia="仿宋" w:cs="仿宋"/>
                <w:color w:val="000000" w:themeColor="text1"/>
                <w:szCs w:val="22"/>
                <w:highlight w:val="none"/>
              </w:rPr>
            </w:pPr>
          </w:p>
        </w:tc>
        <w:tc>
          <w:tcPr>
            <w:tcW w:w="1821"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电话</w:t>
            </w:r>
          </w:p>
        </w:tc>
        <w:tc>
          <w:tcPr>
            <w:tcW w:w="1744" w:type="dxa"/>
            <w:gridSpan w:val="2"/>
            <w:tcBorders>
              <w:tl2br w:val="nil"/>
              <w:tr2bl w:val="nil"/>
            </w:tcBorders>
            <w:vAlign w:val="center"/>
          </w:tcPr>
          <w:p>
            <w:pPr>
              <w:spacing w:line="440" w:lineRule="exact"/>
              <w:jc w:val="center"/>
              <w:rPr>
                <w:rFonts w:hint="eastAsia" w:ascii="仿宋" w:hAnsi="仿宋" w:eastAsia="仿宋" w:cs="仿宋"/>
                <w:color w:val="000000" w:themeColor="text1"/>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919" w:type="dxa"/>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企业资质等级</w:t>
            </w:r>
          </w:p>
        </w:tc>
        <w:tc>
          <w:tcPr>
            <w:tcW w:w="3804" w:type="dxa"/>
            <w:gridSpan w:val="4"/>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p>
        </w:tc>
        <w:tc>
          <w:tcPr>
            <w:tcW w:w="1821"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成立时间</w:t>
            </w:r>
          </w:p>
        </w:tc>
        <w:tc>
          <w:tcPr>
            <w:tcW w:w="1744" w:type="dxa"/>
            <w:gridSpan w:val="2"/>
            <w:tcBorders>
              <w:tl2br w:val="nil"/>
              <w:tr2bl w:val="nil"/>
            </w:tcBorders>
            <w:vAlign w:val="center"/>
          </w:tcPr>
          <w:p>
            <w:pPr>
              <w:spacing w:line="440" w:lineRule="exact"/>
              <w:jc w:val="center"/>
              <w:rPr>
                <w:rFonts w:hint="eastAsia" w:ascii="仿宋" w:hAnsi="仿宋" w:eastAsia="仿宋" w:cs="仿宋"/>
                <w:color w:val="000000" w:themeColor="text1"/>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919" w:type="dxa"/>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注册资金</w:t>
            </w:r>
          </w:p>
        </w:tc>
        <w:tc>
          <w:tcPr>
            <w:tcW w:w="1983" w:type="dxa"/>
            <w:gridSpan w:val="2"/>
            <w:tcBorders>
              <w:tl2br w:val="nil"/>
              <w:tr2bl w:val="nil"/>
            </w:tcBorders>
            <w:vAlign w:val="center"/>
          </w:tcPr>
          <w:p>
            <w:pPr>
              <w:autoSpaceDE w:val="0"/>
              <w:autoSpaceDN w:val="0"/>
              <w:adjustRightInd w:val="0"/>
              <w:spacing w:line="400" w:lineRule="exact"/>
              <w:jc w:val="right"/>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万元</w:t>
            </w:r>
          </w:p>
        </w:tc>
        <w:tc>
          <w:tcPr>
            <w:tcW w:w="1821" w:type="dxa"/>
            <w:gridSpan w:val="2"/>
            <w:vMerge w:val="restart"/>
            <w:tcBorders>
              <w:tl2br w:val="nil"/>
              <w:tr2bl w:val="nil"/>
            </w:tcBorders>
            <w:vAlign w:val="center"/>
          </w:tcPr>
          <w:p>
            <w:pPr>
              <w:spacing w:line="440" w:lineRule="exact"/>
              <w:jc w:val="center"/>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固定资产</w:t>
            </w:r>
          </w:p>
        </w:tc>
        <w:tc>
          <w:tcPr>
            <w:tcW w:w="1821"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原值</w:t>
            </w:r>
          </w:p>
        </w:tc>
        <w:tc>
          <w:tcPr>
            <w:tcW w:w="1744" w:type="dxa"/>
            <w:gridSpan w:val="2"/>
            <w:tcBorders>
              <w:tl2br w:val="nil"/>
              <w:tr2bl w:val="nil"/>
            </w:tcBorders>
            <w:vAlign w:val="center"/>
          </w:tcPr>
          <w:p>
            <w:pPr>
              <w:autoSpaceDE w:val="0"/>
              <w:autoSpaceDN w:val="0"/>
              <w:adjustRightInd w:val="0"/>
              <w:spacing w:line="400" w:lineRule="exact"/>
              <w:jc w:val="right"/>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1919" w:type="dxa"/>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Cs w:val="21"/>
                <w:highlight w:val="none"/>
              </w:rPr>
              <w:t>流动资金</w:t>
            </w:r>
          </w:p>
        </w:tc>
        <w:tc>
          <w:tcPr>
            <w:tcW w:w="1983" w:type="dxa"/>
            <w:gridSpan w:val="2"/>
            <w:tcBorders>
              <w:tl2br w:val="nil"/>
              <w:tr2bl w:val="nil"/>
            </w:tcBorders>
            <w:vAlign w:val="center"/>
          </w:tcPr>
          <w:p>
            <w:pPr>
              <w:autoSpaceDE w:val="0"/>
              <w:autoSpaceDN w:val="0"/>
              <w:adjustRightInd w:val="0"/>
              <w:spacing w:line="400" w:lineRule="exact"/>
              <w:jc w:val="right"/>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万元</w:t>
            </w:r>
          </w:p>
        </w:tc>
        <w:tc>
          <w:tcPr>
            <w:tcW w:w="1821" w:type="dxa"/>
            <w:gridSpan w:val="2"/>
            <w:vMerge w:val="continue"/>
            <w:tcBorders>
              <w:tl2br w:val="nil"/>
              <w:tr2bl w:val="nil"/>
            </w:tcBorders>
            <w:vAlign w:val="center"/>
          </w:tcPr>
          <w:p>
            <w:pPr>
              <w:rPr>
                <w:rFonts w:hint="eastAsia" w:ascii="仿宋" w:hAnsi="仿宋" w:eastAsia="仿宋" w:cs="仿宋"/>
                <w:color w:val="000000" w:themeColor="text1"/>
                <w:szCs w:val="22"/>
                <w:highlight w:val="none"/>
              </w:rPr>
            </w:pPr>
          </w:p>
        </w:tc>
        <w:tc>
          <w:tcPr>
            <w:tcW w:w="1821" w:type="dxa"/>
            <w:gridSpan w:val="2"/>
            <w:tcBorders>
              <w:tl2br w:val="nil"/>
              <w:tr2bl w:val="nil"/>
            </w:tcBorders>
            <w:vAlign w:val="center"/>
          </w:tcPr>
          <w:p>
            <w:pPr>
              <w:autoSpaceDE w:val="0"/>
              <w:autoSpaceDN w:val="0"/>
              <w:adjustRightInd w:val="0"/>
              <w:spacing w:line="400" w:lineRule="exact"/>
              <w:jc w:val="center"/>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净值</w:t>
            </w:r>
          </w:p>
        </w:tc>
        <w:tc>
          <w:tcPr>
            <w:tcW w:w="1744" w:type="dxa"/>
            <w:gridSpan w:val="2"/>
            <w:tcBorders>
              <w:tl2br w:val="nil"/>
              <w:tr2bl w:val="nil"/>
            </w:tcBorders>
            <w:vAlign w:val="center"/>
          </w:tcPr>
          <w:p>
            <w:pPr>
              <w:autoSpaceDE w:val="0"/>
              <w:autoSpaceDN w:val="0"/>
              <w:adjustRightInd w:val="0"/>
              <w:spacing w:line="400" w:lineRule="exact"/>
              <w:jc w:val="right"/>
              <w:rPr>
                <w:rFonts w:hint="eastAsia" w:ascii="仿宋" w:hAnsi="仿宋" w:eastAsia="仿宋" w:cs="仿宋"/>
                <w:color w:val="000000" w:themeColor="text1"/>
                <w:szCs w:val="22"/>
                <w:highlight w:val="none"/>
              </w:rPr>
            </w:pPr>
            <w:r>
              <w:rPr>
                <w:rFonts w:hint="eastAsia" w:ascii="仿宋" w:hAnsi="仿宋" w:eastAsia="仿宋" w:cs="仿宋"/>
                <w:color w:val="000000" w:themeColor="text1"/>
                <w:szCs w:val="21"/>
                <w:highlight w:val="none"/>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jc w:val="center"/>
        </w:trPr>
        <w:tc>
          <w:tcPr>
            <w:tcW w:w="1951" w:type="dxa"/>
            <w:gridSpan w:val="2"/>
            <w:tcBorders>
              <w:tl2br w:val="nil"/>
              <w:tr2bl w:val="nil"/>
            </w:tcBorders>
            <w:shd w:val="clear" w:color="auto" w:fill="auto"/>
            <w:vAlign w:val="center"/>
          </w:tcPr>
          <w:p>
            <w:pPr>
              <w:autoSpaceDE w:val="0"/>
              <w:autoSpaceDN w:val="0"/>
              <w:adjustRightInd w:val="0"/>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开户银行</w:t>
            </w:r>
          </w:p>
        </w:tc>
        <w:tc>
          <w:tcPr>
            <w:tcW w:w="1983" w:type="dxa"/>
            <w:gridSpan w:val="2"/>
            <w:tcBorders>
              <w:tl2br w:val="nil"/>
              <w:tr2bl w:val="nil"/>
            </w:tcBorders>
            <w:shd w:val="clear" w:color="auto" w:fill="auto"/>
            <w:vAlign w:val="center"/>
          </w:tcPr>
          <w:p>
            <w:pPr>
              <w:autoSpaceDE w:val="0"/>
              <w:autoSpaceDN w:val="0"/>
              <w:adjustRightInd w:val="0"/>
              <w:spacing w:line="400" w:lineRule="exact"/>
              <w:jc w:val="center"/>
              <w:rPr>
                <w:rFonts w:hint="eastAsia" w:ascii="仿宋" w:hAnsi="仿宋" w:eastAsia="仿宋" w:cs="仿宋"/>
                <w:color w:val="000000" w:themeColor="text1"/>
                <w:szCs w:val="21"/>
                <w:highlight w:val="none"/>
              </w:rPr>
            </w:pPr>
          </w:p>
        </w:tc>
        <w:tc>
          <w:tcPr>
            <w:tcW w:w="1821" w:type="dxa"/>
            <w:gridSpan w:val="2"/>
            <w:vMerge w:val="restart"/>
            <w:tcBorders>
              <w:tl2br w:val="nil"/>
              <w:tr2bl w:val="nil"/>
            </w:tcBorders>
            <w:shd w:val="clear" w:color="auto" w:fill="auto"/>
            <w:vAlign w:val="center"/>
          </w:tcPr>
          <w:p>
            <w:pPr>
              <w:spacing w:line="44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职工人数</w:t>
            </w:r>
          </w:p>
        </w:tc>
        <w:tc>
          <w:tcPr>
            <w:tcW w:w="1821" w:type="dxa"/>
            <w:gridSpan w:val="2"/>
            <w:tcBorders>
              <w:tl2br w:val="nil"/>
              <w:tr2bl w:val="nil"/>
            </w:tcBorders>
            <w:shd w:val="clear" w:color="auto" w:fill="auto"/>
            <w:vAlign w:val="center"/>
          </w:tcPr>
          <w:p>
            <w:pPr>
              <w:autoSpaceDE w:val="0"/>
              <w:autoSpaceDN w:val="0"/>
              <w:adjustRightInd w:val="0"/>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生产工人</w:t>
            </w:r>
          </w:p>
        </w:tc>
        <w:tc>
          <w:tcPr>
            <w:tcW w:w="1712" w:type="dxa"/>
            <w:tcBorders>
              <w:tl2br w:val="nil"/>
              <w:tr2bl w:val="nil"/>
            </w:tcBorders>
            <w:shd w:val="clear" w:color="auto" w:fill="auto"/>
            <w:vAlign w:val="center"/>
          </w:tcPr>
          <w:p>
            <w:pPr>
              <w:autoSpaceDE w:val="0"/>
              <w:autoSpaceDN w:val="0"/>
              <w:adjustRightInd w:val="0"/>
              <w:spacing w:line="400" w:lineRule="exact"/>
              <w:jc w:val="right"/>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1951" w:type="dxa"/>
            <w:gridSpan w:val="2"/>
            <w:tcBorders>
              <w:tl2br w:val="nil"/>
              <w:tr2bl w:val="nil"/>
            </w:tcBorders>
            <w:shd w:val="clear" w:color="auto" w:fill="auto"/>
            <w:vAlign w:val="center"/>
          </w:tcPr>
          <w:p>
            <w:pPr>
              <w:autoSpaceDE w:val="0"/>
              <w:autoSpaceDN w:val="0"/>
              <w:adjustRightInd w:val="0"/>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账号</w:t>
            </w:r>
          </w:p>
        </w:tc>
        <w:tc>
          <w:tcPr>
            <w:tcW w:w="1983" w:type="dxa"/>
            <w:gridSpan w:val="2"/>
            <w:tcBorders>
              <w:tl2br w:val="nil"/>
              <w:tr2bl w:val="nil"/>
            </w:tcBorders>
            <w:shd w:val="clear" w:color="auto" w:fill="auto"/>
            <w:vAlign w:val="center"/>
          </w:tcPr>
          <w:p>
            <w:pPr>
              <w:autoSpaceDE w:val="0"/>
              <w:autoSpaceDN w:val="0"/>
              <w:adjustRightInd w:val="0"/>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基本银行账号</w:t>
            </w:r>
          </w:p>
        </w:tc>
        <w:tc>
          <w:tcPr>
            <w:tcW w:w="1821" w:type="dxa"/>
            <w:gridSpan w:val="2"/>
            <w:vMerge w:val="continue"/>
            <w:tcBorders>
              <w:tl2br w:val="nil"/>
              <w:tr2bl w:val="nil"/>
            </w:tcBorders>
            <w:shd w:val="clear" w:color="auto" w:fill="auto"/>
            <w:vAlign w:val="center"/>
          </w:tcPr>
          <w:p>
            <w:pPr>
              <w:rPr>
                <w:rFonts w:hint="eastAsia" w:ascii="仿宋" w:hAnsi="仿宋" w:eastAsia="仿宋" w:cs="仿宋"/>
                <w:color w:val="000000" w:themeColor="text1"/>
                <w:sz w:val="20"/>
                <w:highlight w:val="none"/>
              </w:rPr>
            </w:pPr>
          </w:p>
        </w:tc>
        <w:tc>
          <w:tcPr>
            <w:tcW w:w="1821" w:type="dxa"/>
            <w:gridSpan w:val="2"/>
            <w:tcBorders>
              <w:tl2br w:val="nil"/>
              <w:tr2bl w:val="nil"/>
            </w:tcBorders>
            <w:shd w:val="clear" w:color="auto" w:fill="auto"/>
            <w:vAlign w:val="center"/>
          </w:tcPr>
          <w:p>
            <w:pPr>
              <w:autoSpaceDE w:val="0"/>
              <w:autoSpaceDN w:val="0"/>
              <w:adjustRightInd w:val="0"/>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技术人员</w:t>
            </w:r>
          </w:p>
        </w:tc>
        <w:tc>
          <w:tcPr>
            <w:tcW w:w="1712" w:type="dxa"/>
            <w:tcBorders>
              <w:tl2br w:val="nil"/>
              <w:tr2bl w:val="nil"/>
            </w:tcBorders>
            <w:shd w:val="clear" w:color="auto" w:fill="auto"/>
            <w:vAlign w:val="center"/>
          </w:tcPr>
          <w:p>
            <w:pPr>
              <w:autoSpaceDE w:val="0"/>
              <w:autoSpaceDN w:val="0"/>
              <w:adjustRightInd w:val="0"/>
              <w:spacing w:line="400" w:lineRule="exact"/>
              <w:jc w:val="right"/>
              <w:rPr>
                <w:rFonts w:hint="eastAsia" w:ascii="仿宋" w:hAnsi="仿宋" w:eastAsia="仿宋" w:cs="仿宋"/>
                <w:color w:val="000000" w:themeColor="text1"/>
                <w:szCs w:val="21"/>
                <w:highlight w:val="none"/>
              </w:rPr>
            </w:pPr>
            <w:r>
              <w:rPr>
                <w:rFonts w:hint="eastAsia" w:ascii="仿宋" w:hAnsi="仿宋" w:eastAsia="仿宋" w:cs="仿宋"/>
                <w:bCs/>
                <w:color w:val="000000" w:themeColor="text1"/>
                <w:szCs w:val="21"/>
                <w:highlight w:val="none"/>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15" w:hRule="atLeast"/>
          <w:jc w:val="center"/>
        </w:trPr>
        <w:tc>
          <w:tcPr>
            <w:tcW w:w="1951" w:type="dxa"/>
            <w:gridSpan w:val="2"/>
            <w:tcBorders>
              <w:tl2br w:val="nil"/>
              <w:tr2bl w:val="nil"/>
            </w:tcBorders>
            <w:shd w:val="clear" w:color="auto" w:fill="auto"/>
            <w:vAlign w:val="center"/>
          </w:tcPr>
          <w:p>
            <w:pPr>
              <w:autoSpaceDE w:val="0"/>
              <w:autoSpaceDN w:val="0"/>
              <w:adjustRightInd w:val="0"/>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经营范围</w:t>
            </w:r>
          </w:p>
        </w:tc>
        <w:tc>
          <w:tcPr>
            <w:tcW w:w="7337" w:type="dxa"/>
            <w:gridSpan w:val="7"/>
            <w:tcBorders>
              <w:tl2br w:val="nil"/>
              <w:tr2bl w:val="nil"/>
            </w:tcBorders>
            <w:shd w:val="clear" w:color="auto" w:fill="auto"/>
            <w:vAlign w:val="center"/>
          </w:tcPr>
          <w:p>
            <w:pPr>
              <w:autoSpaceDE w:val="0"/>
              <w:autoSpaceDN w:val="0"/>
              <w:adjustRightInd w:val="0"/>
              <w:spacing w:line="400" w:lineRule="exact"/>
              <w:jc w:val="center"/>
              <w:rPr>
                <w:rFonts w:hint="eastAsia" w:ascii="仿宋" w:hAnsi="仿宋" w:eastAsia="仿宋" w:cs="仿宋"/>
                <w:color w:val="000000" w:themeColor="text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70" w:hRule="atLeast"/>
          <w:jc w:val="center"/>
        </w:trPr>
        <w:tc>
          <w:tcPr>
            <w:tcW w:w="1951" w:type="dxa"/>
            <w:gridSpan w:val="2"/>
            <w:tcBorders>
              <w:tl2br w:val="nil"/>
              <w:tr2bl w:val="nil"/>
            </w:tcBorders>
            <w:shd w:val="clear" w:color="auto" w:fill="auto"/>
            <w:vAlign w:val="center"/>
          </w:tcPr>
          <w:p>
            <w:pPr>
              <w:autoSpaceDE w:val="0"/>
              <w:autoSpaceDN w:val="0"/>
              <w:adjustRightInd w:val="0"/>
              <w:spacing w:line="400" w:lineRule="exact"/>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备注</w:t>
            </w:r>
          </w:p>
        </w:tc>
        <w:tc>
          <w:tcPr>
            <w:tcW w:w="7337" w:type="dxa"/>
            <w:gridSpan w:val="7"/>
            <w:tcBorders>
              <w:tl2br w:val="nil"/>
              <w:tr2bl w:val="nil"/>
            </w:tcBorders>
            <w:shd w:val="clear" w:color="auto" w:fill="auto"/>
            <w:vAlign w:val="center"/>
          </w:tcPr>
          <w:p>
            <w:pPr>
              <w:autoSpaceDE w:val="0"/>
              <w:autoSpaceDN w:val="0"/>
              <w:adjustRightInd w:val="0"/>
              <w:spacing w:line="400" w:lineRule="exact"/>
              <w:jc w:val="center"/>
              <w:rPr>
                <w:rFonts w:hint="eastAsia" w:ascii="仿宋" w:hAnsi="仿宋" w:eastAsia="仿宋" w:cs="仿宋"/>
                <w:color w:val="000000" w:themeColor="text1"/>
                <w:szCs w:val="21"/>
                <w:highlight w:val="none"/>
              </w:rPr>
            </w:pPr>
          </w:p>
        </w:tc>
      </w:tr>
    </w:tbl>
    <w:p>
      <w:pPr>
        <w:rPr>
          <w:rFonts w:hint="eastAsia" w:ascii="仿宋" w:hAnsi="仿宋" w:eastAsia="仿宋" w:cs="仿宋"/>
          <w:color w:val="000000" w:themeColor="text1"/>
          <w:sz w:val="24"/>
          <w:highlight w:val="none"/>
        </w:rPr>
      </w:pPr>
    </w:p>
    <w:p>
      <w:pPr>
        <w:ind w:left="-141" w:leftChars="-67" w:firstLine="105" w:firstLineChars="50"/>
        <w:rPr>
          <w:rFonts w:hint="eastAsia" w:ascii="仿宋" w:hAnsi="仿宋" w:eastAsia="仿宋" w:cs="仿宋"/>
          <w:color w:val="000000" w:themeColor="text1"/>
          <w:highlight w:val="none"/>
        </w:rPr>
      </w:pPr>
    </w:p>
    <w:p>
      <w:pPr>
        <w:ind w:left="-141" w:leftChars="-67" w:firstLine="105" w:firstLineChars="50"/>
        <w:rPr>
          <w:rFonts w:hint="eastAsia" w:ascii="仿宋" w:hAnsi="仿宋" w:eastAsia="仿宋" w:cs="仿宋"/>
          <w:color w:val="000000" w:themeColor="text1"/>
          <w:highlight w:val="none"/>
        </w:rPr>
      </w:pPr>
      <w:r>
        <w:rPr>
          <w:rFonts w:hint="eastAsia" w:ascii="仿宋" w:hAnsi="仿宋" w:eastAsia="仿宋" w:cs="仿宋"/>
          <w:color w:val="000000" w:themeColor="text1"/>
          <w:highlight w:val="none"/>
        </w:rPr>
        <w:t>注：供应商需随此表附营业执照、资质等级证书等文件的复印件。</w:t>
      </w: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4200" w:firstLineChars="17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rPr>
          <w:rFonts w:hint="eastAsia" w:ascii="仿宋" w:hAnsi="仿宋" w:eastAsia="仿宋" w:cs="仿宋"/>
          <w:color w:val="000000" w:themeColor="text1"/>
          <w:highlight w:val="none"/>
        </w:rPr>
      </w:pPr>
    </w:p>
    <w:p>
      <w:pPr>
        <w:pStyle w:val="4"/>
        <w:adjustRightInd w:val="0"/>
        <w:spacing w:line="360" w:lineRule="auto"/>
        <w:jc w:val="center"/>
        <w:textAlignment w:val="baseline"/>
        <w:rPr>
          <w:rFonts w:hint="eastAsia" w:ascii="仿宋" w:hAnsi="仿宋" w:eastAsia="仿宋" w:cs="仿宋"/>
          <w:color w:val="000000" w:themeColor="text1"/>
          <w:sz w:val="30"/>
          <w:szCs w:val="30"/>
          <w:highlight w:val="none"/>
        </w:rPr>
      </w:pPr>
      <w:bookmarkStart w:id="184" w:name="_Toc11519"/>
      <w:bookmarkStart w:id="185" w:name="_Toc31219"/>
      <w:bookmarkStart w:id="186" w:name="_Toc423025064"/>
      <w:bookmarkStart w:id="187" w:name="_Toc16901"/>
      <w:bookmarkStart w:id="188" w:name="_Toc29383"/>
      <w:r>
        <w:rPr>
          <w:rFonts w:hint="eastAsia" w:ascii="仿宋" w:hAnsi="仿宋" w:eastAsia="仿宋" w:cs="仿宋"/>
          <w:color w:val="000000" w:themeColor="text1"/>
          <w:sz w:val="30"/>
          <w:szCs w:val="30"/>
          <w:highlight w:val="none"/>
        </w:rPr>
        <w:t>附件7  拟投入本项目人员汇总表</w:t>
      </w:r>
      <w:bookmarkEnd w:id="184"/>
      <w:bookmarkEnd w:id="185"/>
      <w:bookmarkEnd w:id="186"/>
      <w:bookmarkEnd w:id="187"/>
      <w:bookmarkEnd w:id="188"/>
    </w:p>
    <w:p>
      <w:pPr>
        <w:rPr>
          <w:rFonts w:hint="eastAsia" w:ascii="仿宋" w:hAnsi="仿宋" w:eastAsia="仿宋" w:cs="仿宋"/>
          <w:color w:val="000000" w:themeColor="text1"/>
          <w:highlight w:val="none"/>
        </w:rPr>
      </w:pPr>
    </w:p>
    <w:tbl>
      <w:tblPr>
        <w:tblStyle w:val="47"/>
        <w:tblW w:w="9243" w:type="dxa"/>
        <w:jc w:val="righ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13"/>
        <w:gridCol w:w="782"/>
        <w:gridCol w:w="560"/>
        <w:gridCol w:w="1260"/>
        <w:gridCol w:w="740"/>
        <w:gridCol w:w="460"/>
        <w:gridCol w:w="1534"/>
        <w:gridCol w:w="260"/>
        <w:gridCol w:w="17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0" w:hRule="atLeast"/>
          <w:jc w:val="right"/>
        </w:trPr>
        <w:tc>
          <w:tcPr>
            <w:tcW w:w="1913" w:type="dxa"/>
            <w:tcBorders>
              <w:tl2br w:val="nil"/>
              <w:tr2bl w:val="nil"/>
            </w:tcBorders>
            <w:vAlign w:val="center"/>
          </w:tcPr>
          <w:p>
            <w:pPr>
              <w:spacing w:line="360" w:lineRule="auto"/>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公司名称</w:t>
            </w:r>
          </w:p>
        </w:tc>
        <w:tc>
          <w:tcPr>
            <w:tcW w:w="7330" w:type="dxa"/>
            <w:gridSpan w:val="8"/>
            <w:tcBorders>
              <w:tl2br w:val="nil"/>
              <w:tr2bl w:val="nil"/>
            </w:tcBorders>
            <w:vAlign w:val="center"/>
          </w:tcPr>
          <w:p>
            <w:pPr>
              <w:spacing w:line="360" w:lineRule="auto"/>
              <w:jc w:val="center"/>
              <w:rPr>
                <w:rFonts w:hint="eastAsia" w:ascii="仿宋" w:hAnsi="仿宋" w:eastAsia="仿宋" w:cs="仿宋"/>
                <w:b/>
                <w:bCs/>
                <w:color w:val="000000" w:themeColor="text1"/>
                <w:sz w:val="24"/>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6" w:hRule="atLeast"/>
          <w:jc w:val="right"/>
        </w:trPr>
        <w:tc>
          <w:tcPr>
            <w:tcW w:w="9243" w:type="dxa"/>
            <w:gridSpan w:val="9"/>
            <w:tcBorders>
              <w:tl2br w:val="nil"/>
              <w:tr2bl w:val="nil"/>
            </w:tcBorders>
            <w:vAlign w:val="center"/>
          </w:tcPr>
          <w:p>
            <w:pPr>
              <w:rPr>
                <w:rFonts w:hint="eastAsia" w:ascii="仿宋" w:hAnsi="仿宋" w:eastAsia="仿宋" w:cs="仿宋"/>
                <w:b/>
                <w:bCs/>
                <w:color w:val="000000" w:themeColor="text1"/>
                <w:sz w:val="24"/>
                <w:szCs w:val="22"/>
                <w:highlight w:val="none"/>
              </w:rPr>
            </w:pPr>
            <w:r>
              <w:rPr>
                <w:rFonts w:hint="eastAsia" w:ascii="仿宋" w:hAnsi="仿宋" w:eastAsia="仿宋" w:cs="仿宋"/>
                <w:bCs/>
                <w:color w:val="000000" w:themeColor="text1"/>
                <w:sz w:val="24"/>
                <w:szCs w:val="22"/>
                <w:highlight w:val="none"/>
              </w:rPr>
              <w:t>拟派人员构成情况表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8" w:hRule="atLeast"/>
          <w:jc w:val="right"/>
        </w:trPr>
        <w:tc>
          <w:tcPr>
            <w:tcW w:w="1913" w:type="dxa"/>
            <w:vMerge w:val="restart"/>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项目选派人员</w:t>
            </w:r>
          </w:p>
        </w:tc>
        <w:tc>
          <w:tcPr>
            <w:tcW w:w="782" w:type="dxa"/>
            <w:vMerge w:val="restart"/>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6548" w:type="dxa"/>
            <w:gridSpan w:val="7"/>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有职称管理人员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 w:hRule="atLeast"/>
          <w:jc w:val="right"/>
        </w:trPr>
        <w:tc>
          <w:tcPr>
            <w:tcW w:w="1913" w:type="dxa"/>
            <w:vMerge w:val="continue"/>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782" w:type="dxa"/>
            <w:vMerge w:val="continue"/>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2560" w:type="dxa"/>
            <w:gridSpan w:val="3"/>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高级工程师数量</w:t>
            </w:r>
          </w:p>
        </w:tc>
        <w:tc>
          <w:tcPr>
            <w:tcW w:w="1994"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高级</w:t>
            </w:r>
          </w:p>
        </w:tc>
        <w:tc>
          <w:tcPr>
            <w:tcW w:w="1994"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中级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0" w:hRule="atLeast"/>
          <w:jc w:val="right"/>
        </w:trPr>
        <w:tc>
          <w:tcPr>
            <w:tcW w:w="1913" w:type="dxa"/>
            <w:vMerge w:val="continue"/>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782" w:type="dxa"/>
            <w:vMerge w:val="continue"/>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2560" w:type="dxa"/>
            <w:gridSpan w:val="3"/>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994"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994"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0" w:hRule="atLeast"/>
          <w:jc w:val="right"/>
        </w:trPr>
        <w:tc>
          <w:tcPr>
            <w:tcW w:w="1913"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主要选派人员</w:t>
            </w:r>
          </w:p>
        </w:tc>
        <w:tc>
          <w:tcPr>
            <w:tcW w:w="1342"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姓名</w:t>
            </w:r>
          </w:p>
        </w:tc>
        <w:tc>
          <w:tcPr>
            <w:tcW w:w="1260"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职务</w:t>
            </w:r>
          </w:p>
        </w:tc>
        <w:tc>
          <w:tcPr>
            <w:tcW w:w="1200"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职称</w:t>
            </w:r>
          </w:p>
        </w:tc>
        <w:tc>
          <w:tcPr>
            <w:tcW w:w="1794"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是否是高级工程师</w:t>
            </w:r>
          </w:p>
        </w:tc>
        <w:tc>
          <w:tcPr>
            <w:tcW w:w="1734"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r>
              <w:rPr>
                <w:rFonts w:hint="eastAsia" w:ascii="仿宋" w:hAnsi="仿宋" w:eastAsia="仿宋" w:cs="仿宋"/>
                <w:bCs/>
                <w:color w:val="000000" w:themeColor="text1"/>
                <w:sz w:val="24"/>
                <w:szCs w:val="22"/>
                <w:highlight w:val="none"/>
              </w:rPr>
              <w:t>从事专业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7" w:hRule="atLeast"/>
          <w:jc w:val="right"/>
        </w:trPr>
        <w:tc>
          <w:tcPr>
            <w:tcW w:w="1913" w:type="dxa"/>
            <w:vMerge w:val="restart"/>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342"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260"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200"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794"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734"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7" w:hRule="atLeast"/>
          <w:jc w:val="right"/>
        </w:trPr>
        <w:tc>
          <w:tcPr>
            <w:tcW w:w="1913" w:type="dxa"/>
            <w:vMerge w:val="continue"/>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342"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260"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200"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794"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734"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7" w:hRule="atLeast"/>
          <w:jc w:val="right"/>
        </w:trPr>
        <w:tc>
          <w:tcPr>
            <w:tcW w:w="1913" w:type="dxa"/>
            <w:vMerge w:val="continue"/>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342"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260"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200"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794"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734"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7" w:hRule="atLeast"/>
          <w:jc w:val="right"/>
        </w:trPr>
        <w:tc>
          <w:tcPr>
            <w:tcW w:w="1913" w:type="dxa"/>
            <w:vMerge w:val="continue"/>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342"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260"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200"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794" w:type="dxa"/>
            <w:gridSpan w:val="2"/>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734" w:type="dxa"/>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7" w:hRule="atLeast"/>
          <w:jc w:val="right"/>
        </w:trPr>
        <w:tc>
          <w:tcPr>
            <w:tcW w:w="1913" w:type="dxa"/>
            <w:vMerge w:val="continue"/>
            <w:tcBorders>
              <w:tl2br w:val="nil"/>
              <w:tr2bl w:val="nil"/>
            </w:tcBorders>
            <w:vAlign w:val="center"/>
          </w:tcPr>
          <w:p>
            <w:pPr>
              <w:jc w:val="center"/>
              <w:rPr>
                <w:rFonts w:hint="eastAsia" w:ascii="仿宋" w:hAnsi="仿宋" w:eastAsia="仿宋" w:cs="仿宋"/>
                <w:bCs/>
                <w:color w:val="000000" w:themeColor="text1"/>
                <w:sz w:val="24"/>
                <w:szCs w:val="22"/>
                <w:highlight w:val="none"/>
              </w:rPr>
            </w:pPr>
          </w:p>
        </w:tc>
        <w:tc>
          <w:tcPr>
            <w:tcW w:w="1342" w:type="dxa"/>
            <w:gridSpan w:val="2"/>
            <w:tcBorders>
              <w:tl2br w:val="nil"/>
              <w:tr2bl w:val="nil"/>
            </w:tcBorders>
            <w:vAlign w:val="center"/>
          </w:tcPr>
          <w:p>
            <w:pPr>
              <w:jc w:val="center"/>
              <w:rPr>
                <w:rFonts w:hint="eastAsia" w:ascii="仿宋" w:hAnsi="仿宋" w:eastAsia="仿宋" w:cs="仿宋"/>
                <w:color w:val="000000" w:themeColor="text1"/>
                <w:szCs w:val="22"/>
                <w:highlight w:val="none"/>
              </w:rPr>
            </w:pPr>
            <w:r>
              <w:rPr>
                <w:rFonts w:hint="eastAsia" w:ascii="仿宋" w:hAnsi="仿宋" w:eastAsia="仿宋" w:cs="仿宋"/>
                <w:bCs/>
                <w:color w:val="000000" w:themeColor="text1"/>
                <w:sz w:val="24"/>
                <w:szCs w:val="22"/>
                <w:highlight w:val="none"/>
              </w:rPr>
              <w:t>···</w:t>
            </w:r>
          </w:p>
        </w:tc>
        <w:tc>
          <w:tcPr>
            <w:tcW w:w="1260" w:type="dxa"/>
            <w:tcBorders>
              <w:tl2br w:val="nil"/>
              <w:tr2bl w:val="nil"/>
            </w:tcBorders>
            <w:vAlign w:val="center"/>
          </w:tcPr>
          <w:p>
            <w:pPr>
              <w:jc w:val="center"/>
              <w:rPr>
                <w:rFonts w:hint="eastAsia" w:ascii="仿宋" w:hAnsi="仿宋" w:eastAsia="仿宋" w:cs="仿宋"/>
                <w:color w:val="000000" w:themeColor="text1"/>
                <w:szCs w:val="22"/>
                <w:highlight w:val="none"/>
              </w:rPr>
            </w:pPr>
            <w:r>
              <w:rPr>
                <w:rFonts w:hint="eastAsia" w:ascii="仿宋" w:hAnsi="仿宋" w:eastAsia="仿宋" w:cs="仿宋"/>
                <w:bCs/>
                <w:color w:val="000000" w:themeColor="text1"/>
                <w:sz w:val="24"/>
                <w:szCs w:val="22"/>
                <w:highlight w:val="none"/>
              </w:rPr>
              <w:t>···</w:t>
            </w:r>
          </w:p>
        </w:tc>
        <w:tc>
          <w:tcPr>
            <w:tcW w:w="1200" w:type="dxa"/>
            <w:gridSpan w:val="2"/>
            <w:tcBorders>
              <w:tl2br w:val="nil"/>
              <w:tr2bl w:val="nil"/>
            </w:tcBorders>
            <w:vAlign w:val="center"/>
          </w:tcPr>
          <w:p>
            <w:pPr>
              <w:jc w:val="center"/>
              <w:rPr>
                <w:rFonts w:hint="eastAsia" w:ascii="仿宋" w:hAnsi="仿宋" w:eastAsia="仿宋" w:cs="仿宋"/>
                <w:color w:val="000000" w:themeColor="text1"/>
                <w:szCs w:val="22"/>
                <w:highlight w:val="none"/>
              </w:rPr>
            </w:pPr>
            <w:r>
              <w:rPr>
                <w:rFonts w:hint="eastAsia" w:ascii="仿宋" w:hAnsi="仿宋" w:eastAsia="仿宋" w:cs="仿宋"/>
                <w:bCs/>
                <w:color w:val="000000" w:themeColor="text1"/>
                <w:sz w:val="24"/>
                <w:szCs w:val="22"/>
                <w:highlight w:val="none"/>
              </w:rPr>
              <w:t>···</w:t>
            </w:r>
          </w:p>
        </w:tc>
        <w:tc>
          <w:tcPr>
            <w:tcW w:w="1794" w:type="dxa"/>
            <w:gridSpan w:val="2"/>
            <w:tcBorders>
              <w:tl2br w:val="nil"/>
              <w:tr2bl w:val="nil"/>
            </w:tcBorders>
            <w:vAlign w:val="center"/>
          </w:tcPr>
          <w:p>
            <w:pPr>
              <w:jc w:val="center"/>
              <w:rPr>
                <w:rFonts w:hint="eastAsia" w:ascii="仿宋" w:hAnsi="仿宋" w:eastAsia="仿宋" w:cs="仿宋"/>
                <w:color w:val="000000" w:themeColor="text1"/>
                <w:szCs w:val="22"/>
                <w:highlight w:val="none"/>
              </w:rPr>
            </w:pPr>
            <w:r>
              <w:rPr>
                <w:rFonts w:hint="eastAsia" w:ascii="仿宋" w:hAnsi="仿宋" w:eastAsia="仿宋" w:cs="仿宋"/>
                <w:bCs/>
                <w:color w:val="000000" w:themeColor="text1"/>
                <w:sz w:val="24"/>
                <w:szCs w:val="22"/>
                <w:highlight w:val="none"/>
              </w:rPr>
              <w:t>···</w:t>
            </w:r>
          </w:p>
        </w:tc>
        <w:tc>
          <w:tcPr>
            <w:tcW w:w="1734" w:type="dxa"/>
            <w:tcBorders>
              <w:tl2br w:val="nil"/>
              <w:tr2bl w:val="nil"/>
            </w:tcBorders>
            <w:vAlign w:val="center"/>
          </w:tcPr>
          <w:p>
            <w:pPr>
              <w:jc w:val="center"/>
              <w:rPr>
                <w:rFonts w:hint="eastAsia" w:ascii="仿宋" w:hAnsi="仿宋" w:eastAsia="仿宋" w:cs="仿宋"/>
                <w:color w:val="000000" w:themeColor="text1"/>
                <w:szCs w:val="22"/>
                <w:highlight w:val="none"/>
              </w:rPr>
            </w:pPr>
            <w:r>
              <w:rPr>
                <w:rFonts w:hint="eastAsia" w:ascii="仿宋" w:hAnsi="仿宋" w:eastAsia="仿宋" w:cs="仿宋"/>
                <w:bCs/>
                <w:color w:val="000000" w:themeColor="text1"/>
                <w:sz w:val="24"/>
                <w:szCs w:val="22"/>
                <w:highlight w:val="none"/>
              </w:rPr>
              <w:t>···</w:t>
            </w:r>
          </w:p>
        </w:tc>
      </w:tr>
    </w:tbl>
    <w:p>
      <w:pPr>
        <w:spacing w:line="360" w:lineRule="auto"/>
        <w:rPr>
          <w:rFonts w:hint="eastAsia" w:ascii="仿宋" w:hAnsi="仿宋" w:eastAsia="仿宋" w:cs="仿宋"/>
          <w:color w:val="000000" w:themeColor="text1"/>
          <w:sz w:val="24"/>
          <w:highlight w:val="none"/>
        </w:rPr>
      </w:pPr>
      <w:r>
        <w:rPr>
          <w:rFonts w:hint="eastAsia" w:ascii="仿宋" w:hAnsi="仿宋" w:eastAsia="仿宋" w:cs="仿宋"/>
          <w:bCs/>
          <w:color w:val="000000" w:themeColor="text1"/>
          <w:sz w:val="24"/>
          <w:highlight w:val="none"/>
        </w:rPr>
        <w:t>注：附项目经理、项目组成人员身份证、职称证复印件加盖公司印章。</w:t>
      </w:r>
    </w:p>
    <w:p>
      <w:pPr>
        <w:spacing w:line="400" w:lineRule="atLeast"/>
        <w:rPr>
          <w:rFonts w:hint="eastAsia" w:ascii="仿宋" w:hAnsi="仿宋" w:eastAsia="仿宋" w:cs="仿宋"/>
          <w:color w:val="000000" w:themeColor="text1"/>
          <w:highlight w:val="none"/>
        </w:rPr>
      </w:pPr>
    </w:p>
    <w:p>
      <w:pPr>
        <w:spacing w:line="400" w:lineRule="atLeast"/>
        <w:rPr>
          <w:rFonts w:hint="eastAsia" w:ascii="仿宋" w:hAnsi="仿宋" w:eastAsia="仿宋" w:cs="仿宋"/>
          <w:color w:val="000000" w:themeColor="text1"/>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4200" w:firstLineChars="1750"/>
        <w:rPr>
          <w:rFonts w:hint="eastAsia" w:ascii="仿宋" w:hAnsi="仿宋" w:eastAsia="仿宋" w:cs="仿宋"/>
          <w:color w:val="000000" w:themeColor="text1"/>
          <w:szCs w:val="21"/>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spacing w:line="400" w:lineRule="atLeast"/>
        <w:rPr>
          <w:rFonts w:hint="eastAsia" w:ascii="仿宋" w:hAnsi="仿宋" w:eastAsia="仿宋" w:cs="仿宋"/>
          <w:color w:val="000000" w:themeColor="text1"/>
          <w:highlight w:val="none"/>
        </w:rPr>
      </w:pPr>
    </w:p>
    <w:p>
      <w:pPr>
        <w:spacing w:line="400" w:lineRule="atLeast"/>
        <w:rPr>
          <w:rFonts w:hint="eastAsia" w:ascii="仿宋" w:hAnsi="仿宋" w:eastAsia="仿宋" w:cs="仿宋"/>
          <w:color w:val="000000" w:themeColor="text1"/>
          <w:highlight w:val="none"/>
        </w:rPr>
      </w:pPr>
    </w:p>
    <w:p>
      <w:pPr>
        <w:spacing w:line="400" w:lineRule="atLeast"/>
        <w:rPr>
          <w:rFonts w:hint="eastAsia" w:ascii="仿宋" w:hAnsi="仿宋" w:eastAsia="仿宋" w:cs="仿宋"/>
          <w:color w:val="000000" w:themeColor="text1"/>
          <w:highlight w:val="none"/>
        </w:rPr>
      </w:pPr>
    </w:p>
    <w:p>
      <w:pPr>
        <w:spacing w:line="400" w:lineRule="atLeast"/>
        <w:rPr>
          <w:rFonts w:hint="eastAsia" w:ascii="仿宋" w:hAnsi="仿宋" w:eastAsia="仿宋" w:cs="仿宋"/>
          <w:color w:val="000000" w:themeColor="text1"/>
          <w:highlight w:val="none"/>
        </w:rPr>
      </w:pPr>
    </w:p>
    <w:p>
      <w:pPr>
        <w:spacing w:line="400" w:lineRule="atLeast"/>
        <w:rPr>
          <w:rFonts w:hint="eastAsia" w:ascii="仿宋" w:hAnsi="仿宋" w:eastAsia="仿宋" w:cs="仿宋"/>
          <w:color w:val="000000" w:themeColor="text1"/>
          <w:highlight w:val="none"/>
        </w:rPr>
      </w:pPr>
    </w:p>
    <w:p>
      <w:pPr>
        <w:ind w:right="360"/>
        <w:jc w:val="right"/>
        <w:rPr>
          <w:rFonts w:hint="eastAsia" w:ascii="仿宋" w:hAnsi="仿宋" w:eastAsia="仿宋" w:cs="仿宋"/>
          <w:color w:val="000000" w:themeColor="text1"/>
          <w:sz w:val="24"/>
          <w:highlight w:val="none"/>
          <w:u w:val="single"/>
        </w:rPr>
      </w:pPr>
    </w:p>
    <w:p>
      <w:pPr>
        <w:ind w:right="360"/>
        <w:jc w:val="right"/>
        <w:rPr>
          <w:rFonts w:hint="eastAsia" w:ascii="仿宋" w:hAnsi="仿宋" w:eastAsia="仿宋" w:cs="仿宋"/>
          <w:color w:val="000000" w:themeColor="text1"/>
          <w:sz w:val="24"/>
          <w:highlight w:val="none"/>
          <w:u w:val="single"/>
        </w:rPr>
      </w:pPr>
    </w:p>
    <w:p>
      <w:pPr>
        <w:ind w:right="360"/>
        <w:jc w:val="right"/>
        <w:rPr>
          <w:rFonts w:hint="eastAsia" w:ascii="仿宋" w:hAnsi="仿宋" w:eastAsia="仿宋" w:cs="仿宋"/>
          <w:color w:val="000000" w:themeColor="text1"/>
          <w:sz w:val="24"/>
          <w:highlight w:val="none"/>
          <w:u w:val="single"/>
        </w:rPr>
      </w:pPr>
    </w:p>
    <w:p>
      <w:pPr>
        <w:ind w:right="360"/>
        <w:jc w:val="right"/>
        <w:rPr>
          <w:rFonts w:hint="eastAsia" w:ascii="仿宋" w:hAnsi="仿宋" w:eastAsia="仿宋" w:cs="仿宋"/>
          <w:color w:val="000000" w:themeColor="text1"/>
          <w:sz w:val="24"/>
          <w:highlight w:val="none"/>
          <w:u w:val="single"/>
        </w:rPr>
      </w:pPr>
    </w:p>
    <w:p>
      <w:pPr>
        <w:pStyle w:val="6"/>
        <w:rPr>
          <w:rFonts w:hint="eastAsia" w:ascii="仿宋" w:hAnsi="仿宋" w:eastAsia="仿宋" w:cs="仿宋"/>
          <w:color w:val="000000" w:themeColor="text1"/>
          <w:highlight w:val="none"/>
        </w:rPr>
      </w:pPr>
    </w:p>
    <w:p>
      <w:pPr>
        <w:ind w:right="360"/>
        <w:jc w:val="right"/>
        <w:rPr>
          <w:rFonts w:hint="eastAsia" w:ascii="仿宋" w:hAnsi="仿宋" w:eastAsia="仿宋" w:cs="仿宋"/>
          <w:color w:val="000000" w:themeColor="text1"/>
          <w:sz w:val="24"/>
          <w:highlight w:val="none"/>
          <w:u w:val="single"/>
        </w:rPr>
      </w:pPr>
    </w:p>
    <w:bookmarkEnd w:id="174"/>
    <w:bookmarkEnd w:id="175"/>
    <w:bookmarkEnd w:id="176"/>
    <w:bookmarkEnd w:id="177"/>
    <w:bookmarkEnd w:id="178"/>
    <w:p>
      <w:pPr>
        <w:pStyle w:val="4"/>
        <w:adjustRightInd w:val="0"/>
        <w:spacing w:line="360" w:lineRule="auto"/>
        <w:jc w:val="center"/>
        <w:textAlignment w:val="baseline"/>
        <w:rPr>
          <w:rFonts w:hint="eastAsia" w:ascii="仿宋" w:hAnsi="仿宋" w:eastAsia="仿宋" w:cs="仿宋"/>
          <w:color w:val="000000" w:themeColor="text1"/>
          <w:sz w:val="30"/>
          <w:szCs w:val="30"/>
          <w:highlight w:val="none"/>
        </w:rPr>
      </w:pPr>
      <w:bookmarkStart w:id="189" w:name="_Toc8117"/>
      <w:bookmarkStart w:id="190" w:name="_Toc30666"/>
      <w:bookmarkStart w:id="191" w:name="_Toc17995"/>
      <w:bookmarkStart w:id="192" w:name="_Toc423025066"/>
      <w:bookmarkStart w:id="193" w:name="_Toc356551353"/>
      <w:bookmarkStart w:id="194" w:name="_Toc4215"/>
      <w:r>
        <w:rPr>
          <w:rFonts w:hint="eastAsia" w:ascii="仿宋" w:hAnsi="仿宋" w:eastAsia="仿宋" w:cs="仿宋"/>
          <w:color w:val="000000" w:themeColor="text1"/>
          <w:sz w:val="30"/>
          <w:szCs w:val="30"/>
          <w:highlight w:val="none"/>
        </w:rPr>
        <w:t>附件8  技术部分格式</w:t>
      </w:r>
      <w:bookmarkEnd w:id="189"/>
      <w:bookmarkEnd w:id="190"/>
      <w:bookmarkEnd w:id="191"/>
      <w:bookmarkEnd w:id="192"/>
      <w:bookmarkEnd w:id="193"/>
      <w:bookmarkEnd w:id="194"/>
    </w:p>
    <w:p>
      <w:pPr>
        <w:rPr>
          <w:rFonts w:hint="eastAsia" w:ascii="仿宋" w:hAnsi="仿宋" w:eastAsia="仿宋" w:cs="仿宋"/>
          <w:color w:val="000000" w:themeColor="text1"/>
          <w:highlight w:val="none"/>
        </w:rPr>
      </w:pPr>
    </w:p>
    <w:p>
      <w:pPr>
        <w:kinsoku w:val="0"/>
        <w:spacing w:line="500" w:lineRule="exact"/>
        <w:ind w:firstLine="480" w:firstLineChars="200"/>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一、产品技术</w:t>
      </w:r>
      <w:r>
        <w:rPr>
          <w:rFonts w:hint="eastAsia" w:ascii="仿宋" w:hAnsi="仿宋" w:eastAsia="仿宋" w:cs="仿宋"/>
          <w:bCs/>
          <w:color w:val="000000" w:themeColor="text1"/>
          <w:sz w:val="24"/>
          <w:szCs w:val="24"/>
          <w:highlight w:val="none"/>
          <w:lang w:eastAsia="zh-CN"/>
        </w:rPr>
        <w:t>性能、</w:t>
      </w:r>
      <w:r>
        <w:rPr>
          <w:rFonts w:hint="eastAsia" w:ascii="仿宋" w:hAnsi="仿宋" w:eastAsia="仿宋" w:cs="仿宋"/>
          <w:bCs/>
          <w:color w:val="000000" w:themeColor="text1"/>
          <w:sz w:val="24"/>
          <w:szCs w:val="24"/>
          <w:highlight w:val="none"/>
        </w:rPr>
        <w:t>参数；</w:t>
      </w:r>
    </w:p>
    <w:p>
      <w:pPr>
        <w:kinsoku w:val="0"/>
        <w:spacing w:line="500" w:lineRule="exact"/>
        <w:ind w:firstLine="480" w:firstLineChars="200"/>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二、产品先进性及实用性；</w:t>
      </w:r>
    </w:p>
    <w:p>
      <w:pPr>
        <w:kinsoku w:val="0"/>
        <w:spacing w:line="500" w:lineRule="exact"/>
        <w:ind w:firstLine="480" w:firstLineChars="200"/>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三、产品生产企业实力；</w:t>
      </w:r>
    </w:p>
    <w:p>
      <w:pPr>
        <w:kinsoku w:val="0"/>
        <w:spacing w:line="500" w:lineRule="exact"/>
        <w:ind w:firstLine="480" w:firstLineChars="200"/>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四、产品质量保证措施；</w:t>
      </w:r>
    </w:p>
    <w:p>
      <w:pPr>
        <w:kinsoku w:val="0"/>
        <w:spacing w:line="500" w:lineRule="exact"/>
        <w:ind w:firstLine="480" w:firstLineChars="200"/>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五、</w:t>
      </w:r>
      <w:r>
        <w:rPr>
          <w:rFonts w:hint="eastAsia" w:ascii="仿宋" w:hAnsi="仿宋" w:eastAsia="仿宋" w:cs="仿宋"/>
          <w:bCs/>
          <w:color w:val="000000" w:themeColor="text1"/>
          <w:sz w:val="24"/>
          <w:szCs w:val="24"/>
          <w:highlight w:val="none"/>
          <w:lang w:eastAsia="zh-CN"/>
        </w:rPr>
        <w:t>项目实施方案及进度计划安排；</w:t>
      </w:r>
    </w:p>
    <w:p>
      <w:pPr>
        <w:kinsoku w:val="0"/>
        <w:spacing w:line="500" w:lineRule="exact"/>
        <w:ind w:firstLine="480" w:firstLineChars="200"/>
        <w:rPr>
          <w:rFonts w:hint="default"/>
          <w:lang w:val="en-US" w:eastAsia="zh-CN"/>
        </w:rPr>
      </w:pPr>
      <w:r>
        <w:rPr>
          <w:rFonts w:hint="eastAsia" w:ascii="仿宋" w:hAnsi="仿宋" w:eastAsia="仿宋" w:cs="仿宋"/>
          <w:bCs/>
          <w:color w:val="000000" w:themeColor="text1"/>
          <w:sz w:val="24"/>
          <w:szCs w:val="24"/>
          <w:highlight w:val="none"/>
        </w:rPr>
        <w:t>六、培训</w:t>
      </w:r>
      <w:r>
        <w:rPr>
          <w:rFonts w:hint="eastAsia" w:ascii="仿宋" w:hAnsi="仿宋" w:eastAsia="仿宋" w:cs="仿宋"/>
          <w:bCs/>
          <w:color w:val="000000" w:themeColor="text1"/>
          <w:sz w:val="24"/>
          <w:szCs w:val="24"/>
          <w:highlight w:val="none"/>
          <w:lang w:eastAsia="zh-CN"/>
        </w:rPr>
        <w:t>方案；</w:t>
      </w:r>
    </w:p>
    <w:p>
      <w:pPr>
        <w:kinsoku w:val="0"/>
        <w:spacing w:line="500" w:lineRule="exact"/>
        <w:ind w:firstLine="480" w:firstLineChars="200"/>
        <w:rPr>
          <w:rFonts w:hint="eastAsia" w:ascii="仿宋" w:hAnsi="仿宋" w:eastAsia="仿宋" w:cs="仿宋"/>
          <w:bCs/>
          <w:color w:val="000000" w:themeColor="text1"/>
          <w:sz w:val="24"/>
          <w:szCs w:val="24"/>
          <w:highlight w:val="none"/>
          <w:lang w:eastAsia="zh-CN"/>
        </w:rPr>
      </w:pPr>
      <w:r>
        <w:rPr>
          <w:rFonts w:hint="eastAsia" w:ascii="仿宋" w:hAnsi="仿宋" w:eastAsia="仿宋" w:cs="仿宋"/>
          <w:bCs/>
          <w:color w:val="000000" w:themeColor="text1"/>
          <w:sz w:val="24"/>
          <w:szCs w:val="24"/>
          <w:highlight w:val="none"/>
        </w:rPr>
        <w:t>七、</w:t>
      </w:r>
      <w:r>
        <w:rPr>
          <w:rFonts w:hint="eastAsia" w:ascii="仿宋" w:hAnsi="仿宋" w:eastAsia="仿宋" w:cs="仿宋"/>
          <w:bCs/>
          <w:color w:val="000000" w:themeColor="text1"/>
          <w:sz w:val="24"/>
          <w:szCs w:val="24"/>
          <w:highlight w:val="none"/>
          <w:lang w:eastAsia="zh-CN"/>
        </w:rPr>
        <w:t>售后服务；</w:t>
      </w:r>
    </w:p>
    <w:p>
      <w:pPr>
        <w:pStyle w:val="2"/>
        <w:ind w:firstLine="480" w:firstLineChars="200"/>
        <w:rPr>
          <w:rFonts w:hint="eastAsia" w:eastAsia="仿宋"/>
          <w:b w:val="0"/>
          <w:bCs w:val="0"/>
          <w:lang w:eastAsia="zh-CN"/>
        </w:rPr>
      </w:pPr>
      <w:r>
        <w:rPr>
          <w:rFonts w:hint="eastAsia" w:ascii="仿宋" w:hAnsi="仿宋" w:eastAsia="仿宋" w:cs="仿宋"/>
          <w:b w:val="0"/>
          <w:bCs w:val="0"/>
          <w:color w:val="000000" w:themeColor="text1"/>
          <w:sz w:val="24"/>
          <w:szCs w:val="24"/>
          <w:highlight w:val="none"/>
          <w:lang w:eastAsia="zh-CN"/>
        </w:rPr>
        <w:t>八、</w:t>
      </w:r>
      <w:r>
        <w:rPr>
          <w:rFonts w:hint="eastAsia" w:ascii="仿宋" w:hAnsi="仿宋" w:eastAsia="仿宋" w:cs="仿宋"/>
          <w:b w:val="0"/>
          <w:bCs w:val="0"/>
          <w:color w:val="000000" w:themeColor="text1"/>
          <w:sz w:val="24"/>
          <w:szCs w:val="24"/>
          <w:highlight w:val="none"/>
        </w:rPr>
        <w:t>供应商认为有必要说明的问题。</w:t>
      </w:r>
    </w:p>
    <w:p>
      <w:pPr>
        <w:kinsoku w:val="0"/>
        <w:spacing w:line="500" w:lineRule="exact"/>
        <w:ind w:firstLine="480" w:firstLineChars="200"/>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（各供应商根据采购内容及要求，可自主编写方案说明，包含但不限于以上内容）</w:t>
      </w:r>
    </w:p>
    <w:p>
      <w:pPr>
        <w:spacing w:line="360" w:lineRule="auto"/>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keepLines w:val="0"/>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4"/>
        <w:keepLines w:val="0"/>
        <w:adjustRightInd w:val="0"/>
        <w:spacing w:line="360" w:lineRule="auto"/>
        <w:textAlignment w:val="baseline"/>
        <w:rPr>
          <w:rFonts w:hint="eastAsia" w:ascii="仿宋" w:hAnsi="仿宋" w:eastAsia="仿宋" w:cs="仿宋"/>
          <w:color w:val="000000" w:themeColor="text1"/>
          <w:sz w:val="30"/>
          <w:szCs w:val="30"/>
          <w:highlight w:val="none"/>
        </w:rPr>
      </w:pPr>
      <w:bookmarkStart w:id="195" w:name="_Toc423025067"/>
      <w:bookmarkStart w:id="196" w:name="_Toc17570"/>
      <w:bookmarkStart w:id="197" w:name="_Toc9721"/>
      <w:bookmarkStart w:id="198" w:name="_Toc28675"/>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4"/>
        <w:keepLines w:val="0"/>
        <w:adjustRightInd w:val="0"/>
        <w:spacing w:line="360" w:lineRule="auto"/>
        <w:jc w:val="center"/>
        <w:textAlignment w:val="baseline"/>
        <w:rPr>
          <w:rFonts w:hint="eastAsia" w:ascii="仿宋" w:hAnsi="仿宋" w:eastAsia="仿宋" w:cs="仿宋"/>
          <w:color w:val="000000" w:themeColor="text1"/>
          <w:sz w:val="30"/>
          <w:szCs w:val="30"/>
          <w:highlight w:val="none"/>
        </w:rPr>
      </w:pPr>
      <w:bookmarkStart w:id="199" w:name="_Toc29958"/>
      <w:r>
        <w:rPr>
          <w:rFonts w:hint="eastAsia" w:ascii="仿宋" w:hAnsi="仿宋" w:eastAsia="仿宋" w:cs="仿宋"/>
          <w:color w:val="000000" w:themeColor="text1"/>
          <w:sz w:val="30"/>
          <w:szCs w:val="30"/>
          <w:highlight w:val="none"/>
        </w:rPr>
        <w:t>附件9  承诺书</w:t>
      </w:r>
      <w:bookmarkEnd w:id="195"/>
      <w:bookmarkEnd w:id="196"/>
      <w:bookmarkEnd w:id="197"/>
      <w:bookmarkEnd w:id="198"/>
      <w:bookmarkEnd w:id="199"/>
    </w:p>
    <w:p>
      <w:pPr>
        <w:wordWrap w:val="0"/>
        <w:ind w:right="240"/>
        <w:jc w:val="left"/>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szCs w:val="28"/>
          <w:highlight w:val="none"/>
        </w:rPr>
        <w:t xml:space="preserve">致: </w:t>
      </w:r>
      <w:r>
        <w:rPr>
          <w:rFonts w:hint="eastAsia" w:ascii="仿宋" w:hAnsi="仿宋" w:eastAsia="仿宋" w:cs="仿宋"/>
          <w:color w:val="000000" w:themeColor="text1"/>
          <w:sz w:val="24"/>
          <w:highlight w:val="none"/>
          <w:u w:val="single"/>
        </w:rPr>
        <w:t>（采购人名称）</w:t>
      </w:r>
    </w:p>
    <w:p>
      <w:pPr>
        <w:spacing w:line="360" w:lineRule="auto"/>
        <w:jc w:val="left"/>
        <w:rPr>
          <w:rFonts w:hint="eastAsia" w:ascii="仿宋" w:hAnsi="仿宋" w:eastAsia="仿宋" w:cs="仿宋"/>
          <w:color w:val="000000" w:themeColor="text1"/>
          <w:sz w:val="24"/>
          <w:szCs w:val="28"/>
          <w:highlight w:val="none"/>
        </w:rPr>
      </w:pPr>
      <w:r>
        <w:rPr>
          <w:rFonts w:hint="eastAsia" w:ascii="仿宋" w:hAnsi="仿宋" w:eastAsia="仿宋" w:cs="仿宋"/>
          <w:color w:val="000000" w:themeColor="text1"/>
          <w:sz w:val="24"/>
          <w:szCs w:val="28"/>
          <w:highlight w:val="none"/>
        </w:rPr>
        <w:t xml:space="preserve">   </w:t>
      </w:r>
    </w:p>
    <w:p>
      <w:pPr>
        <w:spacing w:line="360" w:lineRule="auto"/>
        <w:ind w:firstLine="360" w:firstLineChars="150"/>
        <w:jc w:val="left"/>
        <w:rPr>
          <w:rFonts w:hint="eastAsia" w:ascii="仿宋" w:hAnsi="仿宋" w:eastAsia="仿宋" w:cs="仿宋"/>
          <w:color w:val="000000" w:themeColor="text1"/>
          <w:sz w:val="24"/>
          <w:szCs w:val="28"/>
          <w:highlight w:val="none"/>
        </w:rPr>
      </w:pPr>
      <w:r>
        <w:rPr>
          <w:rFonts w:hint="eastAsia" w:ascii="仿宋" w:hAnsi="仿宋" w:eastAsia="仿宋" w:cs="仿宋"/>
          <w:color w:val="000000" w:themeColor="text1"/>
          <w:sz w:val="24"/>
          <w:szCs w:val="28"/>
          <w:highlight w:val="none"/>
        </w:rPr>
        <w:t xml:space="preserve"> 我单位作为</w:t>
      </w:r>
      <w:r>
        <w:rPr>
          <w:rFonts w:hint="eastAsia" w:ascii="仿宋" w:hAnsi="仿宋" w:eastAsia="仿宋" w:cs="仿宋"/>
          <w:color w:val="000000" w:themeColor="text1"/>
          <w:sz w:val="24"/>
          <w:szCs w:val="28"/>
          <w:highlight w:val="none"/>
          <w:u w:val="single"/>
          <w:lang w:eastAsia="zh-CN"/>
        </w:rPr>
        <w:t>陕西省汉中监狱无人机防御系统采购项目</w:t>
      </w:r>
      <w:r>
        <w:rPr>
          <w:rFonts w:hint="eastAsia" w:ascii="仿宋" w:hAnsi="仿宋" w:eastAsia="仿宋" w:cs="仿宋"/>
          <w:color w:val="000000" w:themeColor="text1"/>
          <w:sz w:val="24"/>
          <w:szCs w:val="28"/>
          <w:highlight w:val="none"/>
        </w:rPr>
        <w:t>的供应商，在此郑重承诺：我公司将完全响应竞争性磋商文件中的全部内容及条款，如果在本次磋商过程中，采购人或采购代理单位发现并查实我公司在所填报的响应文件中存在提供虚假或不真实的信息或者伪造数据、资料及证书等情况，我公司将无条件地自动放弃成交</w:t>
      </w:r>
      <w:r>
        <w:rPr>
          <w:rFonts w:hint="eastAsia" w:ascii="仿宋" w:hAnsi="仿宋" w:eastAsia="仿宋" w:cs="仿宋"/>
          <w:color w:val="000000" w:themeColor="text1"/>
          <w:sz w:val="24"/>
          <w:highlight w:val="none"/>
        </w:rPr>
        <w:t>（成交）</w:t>
      </w:r>
      <w:r>
        <w:rPr>
          <w:rFonts w:hint="eastAsia" w:ascii="仿宋" w:hAnsi="仿宋" w:eastAsia="仿宋" w:cs="仿宋"/>
          <w:color w:val="000000" w:themeColor="text1"/>
          <w:sz w:val="24"/>
          <w:szCs w:val="28"/>
          <w:highlight w:val="none"/>
        </w:rPr>
        <w:t>资格。</w:t>
      </w:r>
    </w:p>
    <w:p>
      <w:pPr>
        <w:spacing w:line="360" w:lineRule="auto"/>
        <w:ind w:firstLine="360" w:firstLineChars="150"/>
        <w:jc w:val="left"/>
        <w:rPr>
          <w:rFonts w:hint="eastAsia" w:ascii="仿宋" w:hAnsi="仿宋" w:eastAsia="仿宋" w:cs="仿宋"/>
          <w:color w:val="000000" w:themeColor="text1"/>
          <w:sz w:val="24"/>
          <w:szCs w:val="28"/>
          <w:highlight w:val="none"/>
        </w:rPr>
      </w:pPr>
      <w:r>
        <w:rPr>
          <w:rFonts w:hint="eastAsia" w:ascii="仿宋" w:hAnsi="仿宋" w:eastAsia="仿宋" w:cs="仿宋"/>
          <w:color w:val="000000" w:themeColor="text1"/>
          <w:sz w:val="24"/>
          <w:szCs w:val="28"/>
          <w:highlight w:val="none"/>
        </w:rPr>
        <w:t>若我公司最终成为成交单位，将严格遵守国家相关法律法规的规定，完成用户委托的工作项目。如未达到上述准则及规定的要求，我单位愿接受有关处罚并将无条件地自动放弃成交资格。本承诺书是我单位响应文件的有效组成部分，是我单位真实意思的表示，对我单位在与项目有关的任何行为中始终具有优先的法律约束力。</w:t>
      </w:r>
    </w:p>
    <w:p>
      <w:pPr>
        <w:spacing w:line="360" w:lineRule="auto"/>
        <w:ind w:firstLine="360" w:firstLineChars="150"/>
        <w:jc w:val="left"/>
        <w:rPr>
          <w:rFonts w:hint="eastAsia" w:ascii="仿宋" w:hAnsi="仿宋" w:eastAsia="仿宋" w:cs="仿宋"/>
          <w:color w:val="000000" w:themeColor="text1"/>
          <w:sz w:val="24"/>
          <w:szCs w:val="28"/>
          <w:highlight w:val="none"/>
        </w:rPr>
      </w:pPr>
      <w:r>
        <w:rPr>
          <w:rFonts w:hint="eastAsia" w:ascii="仿宋" w:hAnsi="仿宋" w:eastAsia="仿宋" w:cs="仿宋"/>
          <w:color w:val="000000" w:themeColor="text1"/>
          <w:sz w:val="24"/>
          <w:szCs w:val="28"/>
          <w:highlight w:val="none"/>
        </w:rPr>
        <w:t>需要我们提供任何进一步资料，请与下述人员联系：</w:t>
      </w:r>
    </w:p>
    <w:p>
      <w:pPr>
        <w:spacing w:line="360" w:lineRule="auto"/>
        <w:ind w:firstLine="361" w:firstLineChars="150"/>
        <w:jc w:val="left"/>
        <w:rPr>
          <w:rFonts w:hint="eastAsia" w:ascii="仿宋" w:hAnsi="仿宋" w:eastAsia="仿宋" w:cs="仿宋"/>
          <w:b/>
          <w:color w:val="000000" w:themeColor="text1"/>
          <w:sz w:val="24"/>
          <w:szCs w:val="28"/>
          <w:highlight w:val="none"/>
        </w:rPr>
      </w:pPr>
      <w:r>
        <w:rPr>
          <w:rFonts w:hint="eastAsia" w:ascii="仿宋" w:hAnsi="仿宋" w:eastAsia="仿宋" w:cs="仿宋"/>
          <w:b/>
          <w:color w:val="000000" w:themeColor="text1"/>
          <w:sz w:val="24"/>
          <w:szCs w:val="28"/>
          <w:highlight w:val="none"/>
        </w:rPr>
        <w:t>注：特别服务承诺说明可后续补充。</w:t>
      </w:r>
    </w:p>
    <w:p>
      <w:pPr>
        <w:rPr>
          <w:rFonts w:hint="eastAsia" w:ascii="仿宋" w:hAnsi="仿宋" w:eastAsia="仿宋" w:cs="仿宋"/>
          <w:color w:val="000000" w:themeColor="text1"/>
          <w:highlight w:val="none"/>
        </w:rPr>
      </w:pPr>
    </w:p>
    <w:p>
      <w:pPr>
        <w:ind w:firstLine="4080" w:firstLineChars="1700"/>
        <w:rPr>
          <w:rFonts w:hint="eastAsia" w:ascii="仿宋" w:hAnsi="仿宋" w:eastAsia="仿宋" w:cs="仿宋"/>
          <w:color w:val="000000" w:themeColor="text1"/>
          <w:sz w:val="24"/>
          <w:highlight w:val="none"/>
        </w:rPr>
      </w:pPr>
    </w:p>
    <w:p>
      <w:pPr>
        <w:ind w:firstLine="4080" w:firstLineChars="1700"/>
        <w:rPr>
          <w:rFonts w:hint="eastAsia" w:ascii="仿宋" w:hAnsi="仿宋" w:eastAsia="仿宋" w:cs="仿宋"/>
          <w:color w:val="000000" w:themeColor="text1"/>
          <w:sz w:val="24"/>
          <w:highlight w:val="none"/>
        </w:rPr>
      </w:pPr>
    </w:p>
    <w:p>
      <w:pPr>
        <w:ind w:firstLine="4080" w:firstLineChars="1700"/>
        <w:rPr>
          <w:rFonts w:hint="eastAsia" w:ascii="仿宋" w:hAnsi="仿宋" w:eastAsia="仿宋" w:cs="仿宋"/>
          <w:color w:val="000000" w:themeColor="text1"/>
          <w:sz w:val="24"/>
          <w:highlight w:val="none"/>
        </w:rPr>
      </w:pPr>
    </w:p>
    <w:p>
      <w:pPr>
        <w:ind w:firstLine="4080" w:firstLineChars="1700"/>
        <w:rPr>
          <w:rFonts w:hint="eastAsia" w:ascii="仿宋" w:hAnsi="仿宋" w:eastAsia="仿宋" w:cs="仿宋"/>
          <w:color w:val="000000" w:themeColor="text1"/>
          <w:sz w:val="24"/>
          <w:highlight w:val="none"/>
        </w:rPr>
      </w:pPr>
    </w:p>
    <w:p>
      <w:pPr>
        <w:ind w:firstLine="4080" w:firstLineChars="1700"/>
        <w:rPr>
          <w:rFonts w:hint="eastAsia" w:ascii="仿宋" w:hAnsi="仿宋" w:eastAsia="仿宋" w:cs="仿宋"/>
          <w:color w:val="000000" w:themeColor="text1"/>
          <w:sz w:val="24"/>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4080" w:firstLineChars="17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ind w:firstLine="4080" w:firstLineChars="1700"/>
        <w:rPr>
          <w:rFonts w:hint="eastAsia" w:ascii="仿宋" w:hAnsi="仿宋" w:eastAsia="仿宋" w:cs="仿宋"/>
          <w:color w:val="000000" w:themeColor="text1"/>
          <w:sz w:val="24"/>
          <w:highlight w:val="none"/>
        </w:rPr>
      </w:pPr>
    </w:p>
    <w:p>
      <w:pPr>
        <w:ind w:firstLine="4080" w:firstLineChars="1700"/>
        <w:rPr>
          <w:rFonts w:hint="eastAsia" w:ascii="仿宋" w:hAnsi="仿宋" w:eastAsia="仿宋" w:cs="仿宋"/>
          <w:color w:val="000000" w:themeColor="text1"/>
          <w:sz w:val="24"/>
          <w:highlight w:val="none"/>
        </w:rPr>
      </w:pPr>
    </w:p>
    <w:p>
      <w:pPr>
        <w:ind w:firstLine="4080" w:firstLineChars="1700"/>
        <w:rPr>
          <w:rFonts w:hint="eastAsia" w:ascii="仿宋" w:hAnsi="仿宋" w:eastAsia="仿宋" w:cs="仿宋"/>
          <w:color w:val="000000" w:themeColor="text1"/>
          <w:sz w:val="24"/>
          <w:highlight w:val="none"/>
        </w:rPr>
      </w:pPr>
    </w:p>
    <w:p>
      <w:pPr>
        <w:ind w:right="360"/>
        <w:jc w:val="right"/>
        <w:rPr>
          <w:rFonts w:hint="eastAsia" w:ascii="仿宋" w:hAnsi="仿宋" w:eastAsia="仿宋" w:cs="仿宋"/>
          <w:color w:val="000000" w:themeColor="text1"/>
          <w:sz w:val="24"/>
          <w:highlight w:val="none"/>
          <w:u w:val="single"/>
        </w:rPr>
      </w:pPr>
    </w:p>
    <w:p>
      <w:pPr>
        <w:ind w:right="360"/>
        <w:jc w:val="right"/>
        <w:rPr>
          <w:rFonts w:hint="eastAsia" w:ascii="仿宋" w:hAnsi="仿宋" w:eastAsia="仿宋" w:cs="仿宋"/>
          <w:color w:val="000000" w:themeColor="text1"/>
          <w:sz w:val="24"/>
          <w:highlight w:val="none"/>
          <w:u w:val="single"/>
        </w:rPr>
      </w:pPr>
    </w:p>
    <w:p>
      <w:pPr>
        <w:pStyle w:val="4"/>
        <w:adjustRightInd w:val="0"/>
        <w:spacing w:line="460" w:lineRule="exact"/>
        <w:jc w:val="center"/>
        <w:textAlignment w:val="baseline"/>
        <w:rPr>
          <w:rFonts w:hint="eastAsia" w:ascii="仿宋" w:hAnsi="仿宋" w:eastAsia="仿宋" w:cs="仿宋"/>
          <w:color w:val="000000" w:themeColor="text1"/>
          <w:sz w:val="30"/>
          <w:szCs w:val="30"/>
          <w:highlight w:val="none"/>
        </w:rPr>
      </w:pPr>
      <w:bookmarkStart w:id="200" w:name="_Toc423025068"/>
      <w:r>
        <w:rPr>
          <w:rFonts w:hint="eastAsia" w:ascii="仿宋" w:hAnsi="仿宋" w:eastAsia="仿宋" w:cs="仿宋"/>
          <w:color w:val="000000" w:themeColor="text1"/>
          <w:highlight w:val="none"/>
        </w:rPr>
        <w:br w:type="page"/>
      </w:r>
      <w:bookmarkStart w:id="201" w:name="_Toc9069"/>
      <w:bookmarkStart w:id="202" w:name="_Toc10154"/>
      <w:bookmarkStart w:id="203" w:name="_Toc23916"/>
      <w:bookmarkStart w:id="204" w:name="_Toc22002"/>
      <w:r>
        <w:rPr>
          <w:rFonts w:hint="eastAsia" w:ascii="仿宋" w:hAnsi="仿宋" w:eastAsia="仿宋" w:cs="仿宋"/>
          <w:color w:val="000000" w:themeColor="text1"/>
          <w:sz w:val="30"/>
          <w:szCs w:val="30"/>
          <w:highlight w:val="none"/>
        </w:rPr>
        <w:t>附件10   供应商资格证明文件</w:t>
      </w:r>
      <w:bookmarkEnd w:id="200"/>
      <w:bookmarkEnd w:id="201"/>
      <w:bookmarkEnd w:id="202"/>
      <w:bookmarkEnd w:id="203"/>
      <w:bookmarkEnd w:id="204"/>
    </w:p>
    <w:p>
      <w:pPr>
        <w:rPr>
          <w:rFonts w:hint="eastAsia" w:ascii="仿宋" w:hAnsi="仿宋" w:eastAsia="仿宋" w:cs="仿宋"/>
          <w:color w:val="000000" w:themeColor="text1"/>
          <w:highlight w:val="none"/>
        </w:rPr>
      </w:pPr>
    </w:p>
    <w:p>
      <w:pPr>
        <w:spacing w:line="42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1</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sz w:val="24"/>
          <w:szCs w:val="24"/>
          <w:highlight w:val="none"/>
          <w:shd w:val="clear" w:color="auto" w:fill="FFFFFF"/>
        </w:rPr>
        <w:t>具有独立承担民事责任能力的企业法人、事业法人或其他组织，提供三证合一的营业执照（事业单位须事业单位法人证、组织机构代码证等证明文件；其他组织应提供合法证明文件）</w:t>
      </w:r>
      <w:r>
        <w:rPr>
          <w:rFonts w:hint="eastAsia" w:ascii="仿宋" w:hAnsi="仿宋" w:eastAsia="仿宋" w:cs="仿宋"/>
          <w:color w:val="000000" w:themeColor="text1"/>
          <w:sz w:val="24"/>
          <w:szCs w:val="24"/>
          <w:highlight w:val="none"/>
        </w:rPr>
        <w:t>；</w:t>
      </w:r>
    </w:p>
    <w:p>
      <w:pPr>
        <w:spacing w:line="42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2</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sz w:val="24"/>
          <w:szCs w:val="24"/>
          <w:highlight w:val="none"/>
          <w:shd w:val="clear" w:color="auto" w:fill="FFFFFF"/>
        </w:rPr>
        <w:t>供应商应授权合法的人员参加投标，其中法定代表人直接参加的，须出具法人身份证原件，并与营业执照上信息一致；授权代表参加的，须出具法定代表人授权委托书、被授权人身份证原件</w:t>
      </w:r>
      <w:r>
        <w:rPr>
          <w:rFonts w:hint="eastAsia" w:ascii="仿宋" w:hAnsi="仿宋" w:eastAsia="仿宋" w:cs="仿宋"/>
          <w:color w:val="000000" w:themeColor="text1"/>
          <w:sz w:val="24"/>
          <w:szCs w:val="24"/>
          <w:highlight w:val="none"/>
        </w:rPr>
        <w:t>；</w:t>
      </w:r>
    </w:p>
    <w:p>
      <w:pPr>
        <w:spacing w:line="42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3</w:t>
      </w:r>
      <w:r>
        <w:rPr>
          <w:rFonts w:hint="eastAsia" w:ascii="仿宋" w:hAnsi="仿宋" w:eastAsia="仿宋" w:cs="仿宋"/>
          <w:color w:val="000000" w:themeColor="text1"/>
          <w:sz w:val="24"/>
          <w:szCs w:val="24"/>
          <w:highlight w:val="none"/>
        </w:rPr>
        <w:t>、没有被列入“信用中国”网站（www.creditchina.gov.cn）中失信被执行人和重大税收违法案件当事人名单及中国政府采购网（www.ccgp.gov.cn）政府采购严重违法失信行为记录名单；</w:t>
      </w:r>
    </w:p>
    <w:p>
      <w:pPr>
        <w:spacing w:line="440" w:lineRule="exact"/>
        <w:jc w:val="lef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4</w:t>
      </w:r>
      <w:r>
        <w:rPr>
          <w:rFonts w:hint="eastAsia" w:ascii="仿宋" w:hAnsi="仿宋" w:eastAsia="仿宋" w:cs="仿宋"/>
          <w:color w:val="000000" w:themeColor="text1"/>
          <w:sz w:val="24"/>
          <w:szCs w:val="24"/>
          <w:highlight w:val="none"/>
        </w:rPr>
        <w:t>、投标人需提供参加本次政府采购活动前3年内在经营活动中没有重大违法纪录的书面声明；</w:t>
      </w:r>
    </w:p>
    <w:p>
      <w:pPr>
        <w:spacing w:line="42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5</w:t>
      </w:r>
      <w:r>
        <w:rPr>
          <w:rFonts w:hint="eastAsia" w:ascii="仿宋" w:hAnsi="仿宋" w:eastAsia="仿宋" w:cs="仿宋"/>
          <w:color w:val="000000" w:themeColor="text1"/>
          <w:sz w:val="24"/>
          <w:szCs w:val="24"/>
          <w:highlight w:val="none"/>
        </w:rPr>
        <w:t>、财务状况报告：提供2018年度经审计的财务审计报告；成立时间至提交投标文件截止时间不足一年的可提供成立后任意时段的资产负债表，或其基本存款账户开户银行出具的资信证明及基本存款账户开户许可证</w:t>
      </w:r>
      <w:r>
        <w:rPr>
          <w:rFonts w:hint="eastAsia" w:ascii="仿宋" w:hAnsi="仿宋" w:eastAsia="仿宋" w:cs="仿宋"/>
          <w:color w:val="000000" w:themeColor="text1"/>
          <w:sz w:val="24"/>
          <w:szCs w:val="24"/>
          <w:highlight w:val="none"/>
          <w:lang w:eastAsia="zh-CN"/>
        </w:rPr>
        <w:t>（新成立公司，可不提供）</w:t>
      </w:r>
      <w:r>
        <w:rPr>
          <w:rFonts w:hint="eastAsia" w:ascii="仿宋" w:hAnsi="仿宋" w:eastAsia="仿宋" w:cs="仿宋"/>
          <w:color w:val="000000" w:themeColor="text1"/>
          <w:sz w:val="24"/>
          <w:szCs w:val="24"/>
          <w:highlight w:val="none"/>
        </w:rPr>
        <w:t>，或陕西省政府采购信用担保机构出具的投标担保函；以上形式的证明资料提供任何一种即可；</w:t>
      </w:r>
    </w:p>
    <w:p>
      <w:pPr>
        <w:widowControl/>
        <w:spacing w:line="42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6</w:t>
      </w:r>
      <w:r>
        <w:rPr>
          <w:rFonts w:hint="eastAsia" w:ascii="仿宋" w:hAnsi="仿宋" w:eastAsia="仿宋" w:cs="仿宋"/>
          <w:color w:val="000000" w:themeColor="text1"/>
          <w:sz w:val="24"/>
          <w:szCs w:val="24"/>
          <w:highlight w:val="none"/>
        </w:rPr>
        <w:t xml:space="preserve">、税收缴纳证明：提供投标人2019年1月至今已缴纳任意一个月完税凭证或税务机关开具的完税证明（任意税种）；依法免税的应提供相关证明文件； </w:t>
      </w:r>
    </w:p>
    <w:p>
      <w:pPr>
        <w:widowControl/>
        <w:spacing w:line="42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7</w:t>
      </w:r>
      <w:r>
        <w:rPr>
          <w:rFonts w:hint="eastAsia" w:ascii="仿宋" w:hAnsi="仿宋" w:eastAsia="仿宋" w:cs="仿宋"/>
          <w:color w:val="000000" w:themeColor="text1"/>
          <w:sz w:val="24"/>
          <w:szCs w:val="24"/>
          <w:highlight w:val="none"/>
        </w:rPr>
        <w:t>、社会保障资金缴纳证明：提供投标人2019年1月至今已缴存的任意一个月的社会保障资金缴存单据或社保机构开具的社会保险参保缴费情况证明；依法不需要缴纳社会保障资金的应提供相关证明文件；</w:t>
      </w:r>
    </w:p>
    <w:p>
      <w:pPr>
        <w:widowControl/>
        <w:spacing w:line="42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rPr>
        <w:t>8</w:t>
      </w:r>
      <w:r>
        <w:rPr>
          <w:rFonts w:hint="eastAsia" w:ascii="仿宋" w:hAnsi="仿宋" w:eastAsia="仿宋" w:cs="仿宋"/>
          <w:color w:val="000000" w:themeColor="text1"/>
          <w:sz w:val="24"/>
          <w:szCs w:val="24"/>
          <w:highlight w:val="none"/>
        </w:rPr>
        <w:t>、磋商保证金收据或磋商担保函。</w:t>
      </w:r>
    </w:p>
    <w:p>
      <w:pPr>
        <w:spacing w:line="420" w:lineRule="exact"/>
        <w:ind w:left="881" w:hanging="880" w:hangingChars="367"/>
        <w:jc w:val="lef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备注：1.以上资格证明文件复印件、网页截图复印件加盖公章附响应文件中，均须真实有效，资质原件随身携带以备审查。</w:t>
      </w:r>
    </w:p>
    <w:p>
      <w:pPr>
        <w:spacing w:line="420" w:lineRule="exact"/>
        <w:ind w:left="874" w:leftChars="341" w:hanging="158" w:hangingChars="66"/>
        <w:jc w:val="lef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2.响应文件中的法定代表人授权书须为原件。</w:t>
      </w: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pStyle w:val="2"/>
        <w:rPr>
          <w:rFonts w:hint="eastAsia"/>
        </w:rPr>
      </w:pPr>
    </w:p>
    <w:p>
      <w:pPr>
        <w:rPr>
          <w:rFonts w:hint="eastAsia" w:ascii="仿宋" w:hAnsi="仿宋" w:eastAsia="仿宋" w:cs="仿宋"/>
          <w:color w:val="000000" w:themeColor="text1"/>
          <w:highlight w:val="none"/>
        </w:rPr>
      </w:pPr>
    </w:p>
    <w:p>
      <w:pPr>
        <w:spacing w:line="48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w:t>
      </w:r>
    </w:p>
    <w:p>
      <w:pPr>
        <w:jc w:val="center"/>
        <w:rPr>
          <w:rFonts w:hint="eastAsia" w:ascii="仿宋" w:hAnsi="仿宋" w:eastAsia="仿宋" w:cs="仿宋"/>
          <w:b/>
          <w:color w:val="000000" w:themeColor="text1"/>
          <w:sz w:val="32"/>
          <w:szCs w:val="32"/>
          <w:highlight w:val="none"/>
        </w:rPr>
      </w:pPr>
      <w:r>
        <w:rPr>
          <w:rFonts w:hint="eastAsia" w:ascii="仿宋" w:hAnsi="仿宋" w:eastAsia="仿宋" w:cs="仿宋"/>
          <w:b/>
          <w:color w:val="000000" w:themeColor="text1"/>
          <w:sz w:val="32"/>
          <w:szCs w:val="32"/>
          <w:highlight w:val="none"/>
        </w:rPr>
        <w:t>供应商声明</w:t>
      </w:r>
    </w:p>
    <w:p>
      <w:pPr>
        <w:rPr>
          <w:rFonts w:hint="eastAsia" w:ascii="仿宋" w:hAnsi="仿宋" w:eastAsia="仿宋" w:cs="仿宋"/>
          <w:color w:val="000000" w:themeColor="text1"/>
          <w:sz w:val="28"/>
          <w:szCs w:val="28"/>
          <w:highlight w:val="none"/>
        </w:rPr>
      </w:pPr>
    </w:p>
    <w:p>
      <w:pPr>
        <w:spacing w:line="500" w:lineRule="exact"/>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致：</w:t>
      </w:r>
      <w:r>
        <w:rPr>
          <w:rFonts w:hint="eastAsia" w:ascii="仿宋" w:hAnsi="仿宋" w:eastAsia="仿宋" w:cs="仿宋"/>
          <w:color w:val="000000" w:themeColor="text1"/>
          <w:sz w:val="24"/>
          <w:highlight w:val="none"/>
          <w:u w:val="single"/>
        </w:rPr>
        <w:t xml:space="preserve">（采购人名称）  </w:t>
      </w:r>
      <w:r>
        <w:rPr>
          <w:rFonts w:hint="eastAsia" w:ascii="仿宋" w:hAnsi="仿宋" w:eastAsia="仿宋" w:cs="仿宋"/>
          <w:color w:val="000000" w:themeColor="text1"/>
          <w:sz w:val="24"/>
          <w:highlight w:val="none"/>
        </w:rPr>
        <w:t xml:space="preserve">       </w:t>
      </w:r>
    </w:p>
    <w:p>
      <w:pPr>
        <w:spacing w:line="500" w:lineRule="exact"/>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我公司在</w:t>
      </w:r>
      <w:r>
        <w:rPr>
          <w:rFonts w:hint="eastAsia" w:ascii="仿宋" w:hAnsi="仿宋" w:eastAsia="仿宋" w:cs="仿宋"/>
          <w:color w:val="000000" w:themeColor="text1"/>
          <w:sz w:val="24"/>
          <w:highlight w:val="none"/>
          <w:u w:val="single"/>
        </w:rPr>
        <w:t xml:space="preserve">（项目名称）         </w:t>
      </w:r>
      <w:r>
        <w:rPr>
          <w:rFonts w:hint="eastAsia" w:ascii="仿宋" w:hAnsi="仿宋" w:eastAsia="仿宋" w:cs="仿宋"/>
          <w:color w:val="000000" w:themeColor="text1"/>
          <w:sz w:val="24"/>
          <w:highlight w:val="none"/>
        </w:rPr>
        <w:t>项目招标采购活动中，以我公司独立承担民事责任能力的法人名义参加本项目的投标工作，并郑重声明：</w:t>
      </w:r>
    </w:p>
    <w:p>
      <w:pPr>
        <w:spacing w:line="500" w:lineRule="exact"/>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无与我公司单位负责人为</w:t>
      </w:r>
      <w:r>
        <w:rPr>
          <w:rFonts w:hint="eastAsia" w:ascii="仿宋" w:hAnsi="仿宋" w:eastAsia="仿宋" w:cs="仿宋"/>
          <w:color w:val="000000" w:themeColor="text1"/>
          <w:sz w:val="24"/>
          <w:highlight w:val="none"/>
          <w:u w:val="single"/>
        </w:rPr>
        <w:t>同一人或者存在控股、管理关系的不同单位，参加本项目（标段）</w:t>
      </w:r>
      <w:r>
        <w:rPr>
          <w:rFonts w:hint="eastAsia" w:ascii="仿宋" w:hAnsi="仿宋" w:eastAsia="仿宋" w:cs="仿宋"/>
          <w:color w:val="000000" w:themeColor="text1"/>
          <w:sz w:val="24"/>
          <w:highlight w:val="none"/>
        </w:rPr>
        <w:t>的投标活动。并对本“声明”的真实性负责，如有弄虚作假，我公司将对由此造成的一切不良后果承担经济、法律责任。</w:t>
      </w:r>
    </w:p>
    <w:p>
      <w:pPr>
        <w:spacing w:line="360" w:lineRule="auto"/>
        <w:ind w:firstLine="480" w:firstLineChars="200"/>
        <w:jc w:val="left"/>
        <w:rPr>
          <w:rFonts w:hint="eastAsia" w:ascii="仿宋" w:hAnsi="仿宋" w:eastAsia="仿宋" w:cs="仿宋"/>
          <w:color w:val="000000" w:themeColor="text1"/>
          <w:sz w:val="24"/>
          <w:highlight w:val="none"/>
        </w:rPr>
      </w:pPr>
    </w:p>
    <w:p>
      <w:pPr>
        <w:spacing w:line="360" w:lineRule="auto"/>
        <w:ind w:firstLine="480" w:firstLineChars="200"/>
        <w:jc w:val="left"/>
        <w:rPr>
          <w:rFonts w:hint="eastAsia" w:ascii="仿宋" w:hAnsi="仿宋" w:eastAsia="仿宋" w:cs="仿宋"/>
          <w:color w:val="000000" w:themeColor="text1"/>
          <w:sz w:val="24"/>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firstLine="4200" w:firstLineChars="1750"/>
        <w:jc w:val="right"/>
        <w:rPr>
          <w:rFonts w:hint="eastAsia" w:ascii="仿宋" w:hAnsi="仿宋" w:eastAsia="仿宋" w:cs="仿宋"/>
          <w:color w:val="000000" w:themeColor="text1"/>
          <w:szCs w:val="21"/>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spacing w:beforeLines="100" w:line="360" w:lineRule="auto"/>
        <w:jc w:val="center"/>
        <w:rPr>
          <w:rFonts w:hint="eastAsia" w:ascii="仿宋" w:hAnsi="仿宋" w:eastAsia="仿宋" w:cs="仿宋"/>
          <w:b/>
          <w:color w:val="000000" w:themeColor="text1"/>
          <w:sz w:val="32"/>
          <w:szCs w:val="32"/>
          <w:highlight w:val="none"/>
        </w:rPr>
      </w:pPr>
    </w:p>
    <w:p>
      <w:pPr>
        <w:spacing w:beforeLines="100" w:line="360" w:lineRule="auto"/>
        <w:jc w:val="center"/>
        <w:rPr>
          <w:rFonts w:hint="eastAsia" w:ascii="仿宋" w:hAnsi="仿宋" w:eastAsia="仿宋" w:cs="仿宋"/>
          <w:b/>
          <w:color w:val="000000" w:themeColor="text1"/>
          <w:sz w:val="32"/>
          <w:szCs w:val="32"/>
          <w:highlight w:val="none"/>
        </w:rPr>
      </w:pPr>
    </w:p>
    <w:p>
      <w:pPr>
        <w:spacing w:beforeLines="100" w:line="360" w:lineRule="auto"/>
        <w:jc w:val="center"/>
        <w:rPr>
          <w:rFonts w:hint="eastAsia" w:ascii="仿宋" w:hAnsi="仿宋" w:eastAsia="仿宋" w:cs="仿宋"/>
          <w:b/>
          <w:color w:val="000000" w:themeColor="text1"/>
          <w:sz w:val="32"/>
          <w:szCs w:val="32"/>
          <w:highlight w:val="none"/>
        </w:rPr>
      </w:pPr>
    </w:p>
    <w:p>
      <w:pPr>
        <w:spacing w:beforeLines="100" w:line="360" w:lineRule="auto"/>
        <w:jc w:val="center"/>
        <w:rPr>
          <w:rFonts w:hint="eastAsia" w:ascii="仿宋" w:hAnsi="仿宋" w:eastAsia="仿宋" w:cs="仿宋"/>
          <w:b/>
          <w:color w:val="000000" w:themeColor="text1"/>
          <w:sz w:val="32"/>
          <w:szCs w:val="32"/>
          <w:highlight w:val="none"/>
        </w:rPr>
      </w:pPr>
    </w:p>
    <w:p>
      <w:pPr>
        <w:spacing w:beforeLines="100" w:line="360" w:lineRule="auto"/>
        <w:jc w:val="center"/>
        <w:rPr>
          <w:rFonts w:hint="eastAsia" w:ascii="仿宋" w:hAnsi="仿宋" w:eastAsia="仿宋" w:cs="仿宋"/>
          <w:b/>
          <w:color w:val="000000" w:themeColor="text1"/>
          <w:sz w:val="32"/>
          <w:szCs w:val="32"/>
          <w:highlight w:val="none"/>
        </w:rPr>
      </w:pPr>
    </w:p>
    <w:p>
      <w:pPr>
        <w:spacing w:beforeLines="100" w:line="360" w:lineRule="auto"/>
        <w:jc w:val="center"/>
        <w:rPr>
          <w:rFonts w:hint="eastAsia" w:ascii="仿宋" w:hAnsi="仿宋" w:eastAsia="仿宋" w:cs="仿宋"/>
          <w:b/>
          <w:color w:val="000000" w:themeColor="text1"/>
          <w:sz w:val="32"/>
          <w:szCs w:val="32"/>
          <w:highlight w:val="none"/>
        </w:rPr>
      </w:pPr>
    </w:p>
    <w:p>
      <w:pPr>
        <w:spacing w:beforeLines="100" w:line="360" w:lineRule="auto"/>
        <w:jc w:val="center"/>
        <w:rPr>
          <w:rFonts w:hint="eastAsia" w:ascii="仿宋" w:hAnsi="仿宋" w:eastAsia="仿宋" w:cs="仿宋"/>
          <w:b/>
          <w:color w:val="000000" w:themeColor="text1"/>
          <w:sz w:val="32"/>
          <w:szCs w:val="32"/>
          <w:highlight w:val="none"/>
        </w:rPr>
      </w:pPr>
    </w:p>
    <w:p>
      <w:pPr>
        <w:spacing w:beforeLines="100" w:line="360" w:lineRule="auto"/>
        <w:jc w:val="center"/>
        <w:rPr>
          <w:rFonts w:hint="eastAsia" w:ascii="仿宋" w:hAnsi="仿宋" w:eastAsia="仿宋" w:cs="仿宋"/>
          <w:b/>
          <w:color w:val="000000" w:themeColor="text1"/>
          <w:sz w:val="32"/>
          <w:szCs w:val="32"/>
          <w:highlight w:val="none"/>
        </w:rPr>
      </w:pPr>
    </w:p>
    <w:p>
      <w:pPr>
        <w:spacing w:beforeLines="100" w:line="360" w:lineRule="auto"/>
        <w:jc w:val="center"/>
        <w:rPr>
          <w:rFonts w:hint="eastAsia" w:ascii="仿宋" w:hAnsi="仿宋" w:eastAsia="仿宋" w:cs="仿宋"/>
          <w:b/>
          <w:color w:val="000000" w:themeColor="text1"/>
          <w:sz w:val="32"/>
          <w:szCs w:val="32"/>
          <w:highlight w:val="none"/>
        </w:rPr>
      </w:pPr>
    </w:p>
    <w:p>
      <w:pPr>
        <w:spacing w:beforeLines="100" w:line="360" w:lineRule="auto"/>
        <w:jc w:val="center"/>
        <w:rPr>
          <w:rFonts w:hint="eastAsia" w:ascii="仿宋" w:hAnsi="仿宋" w:eastAsia="仿宋" w:cs="仿宋"/>
          <w:b/>
          <w:color w:val="000000" w:themeColor="text1"/>
          <w:sz w:val="32"/>
          <w:szCs w:val="32"/>
          <w:highlight w:val="none"/>
        </w:rPr>
      </w:pPr>
    </w:p>
    <w:p>
      <w:pPr>
        <w:spacing w:beforeLines="100" w:line="360" w:lineRule="auto"/>
        <w:jc w:val="center"/>
        <w:rPr>
          <w:rFonts w:hint="eastAsia" w:ascii="仿宋" w:hAnsi="仿宋" w:eastAsia="仿宋" w:cs="仿宋"/>
          <w:b/>
          <w:color w:val="000000" w:themeColor="text1"/>
          <w:sz w:val="32"/>
          <w:szCs w:val="32"/>
          <w:highlight w:val="none"/>
        </w:rPr>
      </w:pPr>
      <w:r>
        <w:rPr>
          <w:rFonts w:hint="eastAsia" w:ascii="仿宋" w:hAnsi="仿宋" w:eastAsia="仿宋" w:cs="仿宋"/>
          <w:b/>
          <w:color w:val="000000" w:themeColor="text1"/>
          <w:sz w:val="32"/>
          <w:szCs w:val="32"/>
          <w:highlight w:val="none"/>
        </w:rPr>
        <w:t>近三年无重大违法、违纪书面声明</w:t>
      </w:r>
    </w:p>
    <w:p>
      <w:pPr>
        <w:spacing w:line="500" w:lineRule="exact"/>
        <w:rPr>
          <w:rFonts w:hint="eastAsia" w:ascii="仿宋" w:hAnsi="仿宋" w:eastAsia="仿宋" w:cs="仿宋"/>
          <w:color w:val="000000" w:themeColor="text1"/>
          <w:highlight w:val="none"/>
        </w:rPr>
      </w:pPr>
      <w:r>
        <w:rPr>
          <w:rFonts w:hint="eastAsia" w:ascii="仿宋" w:hAnsi="仿宋" w:eastAsia="仿宋" w:cs="仿宋"/>
          <w:color w:val="000000" w:themeColor="text1"/>
          <w:kern w:val="0"/>
          <w:sz w:val="24"/>
          <w:highlight w:val="none"/>
        </w:rPr>
        <w:t>致：</w:t>
      </w:r>
      <w:r>
        <w:rPr>
          <w:rFonts w:hint="eastAsia" w:ascii="仿宋" w:hAnsi="仿宋" w:eastAsia="仿宋" w:cs="仿宋"/>
          <w:color w:val="000000" w:themeColor="text1"/>
          <w:sz w:val="24"/>
          <w:szCs w:val="24"/>
          <w:highlight w:val="none"/>
          <w:u w:val="single"/>
        </w:rPr>
        <w:t>（采购人名称）</w:t>
      </w:r>
    </w:p>
    <w:p>
      <w:pPr>
        <w:spacing w:line="500" w:lineRule="exact"/>
        <w:ind w:firstLine="480" w:firstLineChars="200"/>
        <w:jc w:val="left"/>
        <w:rPr>
          <w:rFonts w:hint="eastAsia" w:ascii="仿宋" w:hAnsi="仿宋" w:eastAsia="仿宋" w:cs="仿宋"/>
          <w:b/>
          <w:color w:val="000000" w:themeColor="text1"/>
          <w:sz w:val="32"/>
          <w:szCs w:val="32"/>
          <w:highlight w:val="none"/>
        </w:rPr>
      </w:pPr>
      <w:r>
        <w:rPr>
          <w:rFonts w:hint="eastAsia" w:ascii="仿宋" w:hAnsi="仿宋" w:eastAsia="仿宋" w:cs="仿宋"/>
          <w:color w:val="000000" w:themeColor="text1"/>
          <w:sz w:val="24"/>
          <w:highlight w:val="none"/>
        </w:rPr>
        <w:t>我单位声明参加本次政府采购活动前三年内，在经营活动中没有重大违纪，以及未被列入失信被执行人、未在重大税收违法案件当事人名单及政府采购严重违法失信行为记录名单中。</w:t>
      </w:r>
    </w:p>
    <w:p>
      <w:pPr>
        <w:spacing w:line="500" w:lineRule="exact"/>
        <w:ind w:firstLine="424" w:firstLineChars="177"/>
        <w:jc w:val="left"/>
        <w:rPr>
          <w:rFonts w:hint="eastAsia" w:ascii="仿宋" w:hAnsi="仿宋" w:eastAsia="仿宋" w:cs="仿宋"/>
          <w:b/>
          <w:color w:val="000000" w:themeColor="text1"/>
          <w:sz w:val="32"/>
          <w:szCs w:val="32"/>
          <w:highlight w:val="none"/>
        </w:rPr>
      </w:pPr>
      <w:r>
        <w:rPr>
          <w:rFonts w:hint="eastAsia" w:ascii="仿宋" w:hAnsi="仿宋" w:eastAsia="仿宋" w:cs="仿宋"/>
          <w:color w:val="000000" w:themeColor="text1"/>
          <w:sz w:val="24"/>
          <w:highlight w:val="none"/>
        </w:rPr>
        <w:t>以上如构成虚假，自愿承担相关法律责任。</w:t>
      </w:r>
    </w:p>
    <w:p>
      <w:pPr>
        <w:spacing w:line="500" w:lineRule="exact"/>
        <w:jc w:val="left"/>
        <w:rPr>
          <w:rFonts w:hint="eastAsia" w:ascii="仿宋" w:hAnsi="仿宋" w:eastAsia="仿宋" w:cs="仿宋"/>
          <w:b/>
          <w:color w:val="000000" w:themeColor="text1"/>
          <w:sz w:val="32"/>
          <w:szCs w:val="32"/>
          <w:highlight w:val="none"/>
        </w:rPr>
      </w:pPr>
    </w:p>
    <w:p>
      <w:pPr>
        <w:spacing w:line="500" w:lineRule="exact"/>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特此声明！</w:t>
      </w:r>
    </w:p>
    <w:p>
      <w:pPr>
        <w:spacing w:line="360" w:lineRule="auto"/>
        <w:ind w:firstLine="480" w:firstLineChars="200"/>
        <w:jc w:val="left"/>
        <w:rPr>
          <w:rFonts w:hint="eastAsia" w:ascii="仿宋" w:hAnsi="仿宋" w:eastAsia="仿宋" w:cs="仿宋"/>
          <w:color w:val="000000" w:themeColor="text1"/>
          <w:sz w:val="24"/>
          <w:highlight w:val="none"/>
        </w:rPr>
      </w:pPr>
    </w:p>
    <w:p>
      <w:pPr>
        <w:spacing w:line="480" w:lineRule="auto"/>
        <w:ind w:firstLine="480" w:firstLineChars="200"/>
        <w:jc w:val="left"/>
        <w:rPr>
          <w:rFonts w:hint="eastAsia" w:ascii="仿宋" w:hAnsi="仿宋" w:eastAsia="仿宋" w:cs="仿宋"/>
          <w:color w:val="000000" w:themeColor="text1"/>
          <w:sz w:val="24"/>
          <w:highlight w:val="none"/>
        </w:rPr>
      </w:pPr>
    </w:p>
    <w:p>
      <w:pPr>
        <w:spacing w:line="480" w:lineRule="auto"/>
        <w:ind w:firstLine="480" w:firstLineChars="200"/>
        <w:jc w:val="left"/>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 xml:space="preserve">                              声明人：</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r>
        <w:rPr>
          <w:rFonts w:hint="eastAsia" w:ascii="仿宋" w:hAnsi="仿宋" w:eastAsia="仿宋" w:cs="仿宋"/>
          <w:color w:val="000000" w:themeColor="text1"/>
          <w:sz w:val="24"/>
          <w:highlight w:val="none"/>
          <w:u w:val="single"/>
        </w:rPr>
        <w:t xml:space="preserve">                            </w:t>
      </w:r>
    </w:p>
    <w:p>
      <w:pPr>
        <w:spacing w:line="480" w:lineRule="auto"/>
        <w:ind w:firstLine="480" w:firstLineChars="200"/>
        <w:jc w:val="left"/>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 xml:space="preserve">                              法定代表人/被授权人：</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（签字）</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 xml:space="preserve"> </w:t>
      </w:r>
      <w:r>
        <w:rPr>
          <w:rFonts w:hint="eastAsia" w:ascii="仿宋" w:hAnsi="仿宋" w:eastAsia="仿宋" w:cs="仿宋"/>
          <w:color w:val="000000" w:themeColor="text1"/>
          <w:sz w:val="24"/>
          <w:highlight w:val="none"/>
          <w:u w:val="single"/>
        </w:rPr>
        <w:t xml:space="preserve"> </w:t>
      </w:r>
    </w:p>
    <w:p>
      <w:pPr>
        <w:spacing w:line="500" w:lineRule="exact"/>
        <w:ind w:firstLine="4080" w:firstLineChars="1700"/>
        <w:rPr>
          <w:rFonts w:hint="eastAsia" w:ascii="仿宋" w:hAnsi="仿宋" w:eastAsia="仿宋" w:cs="仿宋"/>
          <w:color w:val="000000" w:themeColor="text1"/>
          <w:szCs w:val="21"/>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widowControl/>
        <w:spacing w:line="360" w:lineRule="auto"/>
        <w:ind w:firstLine="720" w:firstLineChars="300"/>
        <w:jc w:val="center"/>
        <w:rPr>
          <w:rFonts w:hint="eastAsia" w:ascii="仿宋" w:hAnsi="仿宋" w:eastAsia="仿宋" w:cs="仿宋"/>
          <w:color w:val="000000" w:themeColor="text1"/>
          <w:sz w:val="24"/>
          <w:highlight w:val="none"/>
        </w:rPr>
      </w:pPr>
    </w:p>
    <w:p>
      <w:pPr>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后附：</w:t>
      </w:r>
    </w:p>
    <w:p>
      <w:pPr>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1、供应商在“信用中国”网站、“中国政府采购网”等渠道查询的相关信用记录完整截图，并加盖公章。</w:t>
      </w:r>
    </w:p>
    <w:p>
      <w:pPr>
        <w:widowControl/>
        <w:spacing w:line="360" w:lineRule="auto"/>
        <w:ind w:firstLine="843" w:firstLineChars="300"/>
        <w:rPr>
          <w:rFonts w:hint="eastAsia" w:ascii="仿宋" w:hAnsi="仿宋" w:eastAsia="仿宋" w:cs="仿宋"/>
          <w:b/>
          <w:color w:val="000000" w:themeColor="text1"/>
          <w:kern w:val="0"/>
          <w:sz w:val="28"/>
          <w:szCs w:val="24"/>
          <w:highlight w:val="none"/>
          <w:shd w:val="clear" w:color="auto" w:fill="FFFFFF"/>
        </w:rPr>
      </w:pPr>
    </w:p>
    <w:p>
      <w:pPr>
        <w:widowControl/>
        <w:spacing w:line="360" w:lineRule="auto"/>
        <w:ind w:firstLine="843" w:firstLineChars="300"/>
        <w:jc w:val="center"/>
        <w:rPr>
          <w:rFonts w:hint="eastAsia" w:ascii="仿宋" w:hAnsi="仿宋" w:eastAsia="仿宋" w:cs="仿宋"/>
          <w:b/>
          <w:color w:val="000000" w:themeColor="text1"/>
          <w:kern w:val="0"/>
          <w:sz w:val="28"/>
          <w:szCs w:val="24"/>
          <w:highlight w:val="none"/>
          <w:shd w:val="clear" w:color="auto" w:fill="FFFFFF"/>
        </w:rPr>
      </w:pPr>
    </w:p>
    <w:p>
      <w:pPr>
        <w:widowControl/>
        <w:spacing w:line="360" w:lineRule="auto"/>
        <w:ind w:firstLine="843" w:firstLineChars="300"/>
        <w:jc w:val="center"/>
        <w:rPr>
          <w:rFonts w:hint="eastAsia" w:ascii="仿宋" w:hAnsi="仿宋" w:eastAsia="仿宋" w:cs="仿宋"/>
          <w:b/>
          <w:color w:val="000000" w:themeColor="text1"/>
          <w:kern w:val="0"/>
          <w:sz w:val="28"/>
          <w:szCs w:val="24"/>
          <w:highlight w:val="none"/>
          <w:shd w:val="clear" w:color="auto" w:fill="FFFFFF"/>
        </w:rPr>
      </w:pPr>
    </w:p>
    <w:p>
      <w:pPr>
        <w:widowControl/>
        <w:spacing w:line="360" w:lineRule="auto"/>
        <w:ind w:firstLine="843" w:firstLineChars="300"/>
        <w:jc w:val="center"/>
        <w:rPr>
          <w:rFonts w:hint="eastAsia" w:ascii="仿宋" w:hAnsi="仿宋" w:eastAsia="仿宋" w:cs="仿宋"/>
          <w:b/>
          <w:color w:val="000000" w:themeColor="text1"/>
          <w:kern w:val="0"/>
          <w:sz w:val="28"/>
          <w:szCs w:val="24"/>
          <w:highlight w:val="none"/>
          <w:shd w:val="clear" w:color="auto" w:fill="FFFFFF"/>
        </w:rPr>
      </w:pPr>
    </w:p>
    <w:p>
      <w:pPr>
        <w:widowControl/>
        <w:spacing w:line="360" w:lineRule="auto"/>
        <w:ind w:firstLine="843" w:firstLineChars="300"/>
        <w:jc w:val="center"/>
        <w:rPr>
          <w:rFonts w:hint="eastAsia" w:ascii="仿宋" w:hAnsi="仿宋" w:eastAsia="仿宋" w:cs="仿宋"/>
          <w:b/>
          <w:color w:val="000000" w:themeColor="text1"/>
          <w:kern w:val="0"/>
          <w:sz w:val="28"/>
          <w:szCs w:val="24"/>
          <w:highlight w:val="none"/>
          <w:shd w:val="clear" w:color="auto" w:fill="FFFFFF"/>
        </w:rPr>
      </w:pPr>
    </w:p>
    <w:p>
      <w:pPr>
        <w:widowControl/>
        <w:spacing w:line="360" w:lineRule="auto"/>
        <w:ind w:firstLine="843" w:firstLineChars="300"/>
        <w:jc w:val="center"/>
        <w:rPr>
          <w:rFonts w:hint="eastAsia" w:ascii="仿宋" w:hAnsi="仿宋" w:eastAsia="仿宋" w:cs="仿宋"/>
          <w:b/>
          <w:color w:val="000000" w:themeColor="text1"/>
          <w:kern w:val="0"/>
          <w:sz w:val="28"/>
          <w:szCs w:val="24"/>
          <w:highlight w:val="none"/>
          <w:shd w:val="clear" w:color="auto" w:fill="FFFFFF"/>
        </w:rPr>
      </w:pPr>
    </w:p>
    <w:p>
      <w:pPr>
        <w:widowControl/>
        <w:spacing w:line="360" w:lineRule="auto"/>
        <w:ind w:firstLine="843" w:firstLineChars="300"/>
        <w:jc w:val="center"/>
        <w:rPr>
          <w:rFonts w:hint="eastAsia" w:ascii="仿宋" w:hAnsi="仿宋" w:eastAsia="仿宋" w:cs="仿宋"/>
          <w:b/>
          <w:color w:val="000000" w:themeColor="text1"/>
          <w:kern w:val="0"/>
          <w:sz w:val="28"/>
          <w:szCs w:val="24"/>
          <w:highlight w:val="none"/>
          <w:shd w:val="clear" w:color="auto" w:fill="FFFFFF"/>
        </w:rPr>
      </w:pPr>
    </w:p>
    <w:p>
      <w:pPr>
        <w:widowControl/>
        <w:spacing w:line="360" w:lineRule="auto"/>
        <w:ind w:firstLine="843" w:firstLineChars="300"/>
        <w:jc w:val="center"/>
        <w:rPr>
          <w:rFonts w:hint="eastAsia" w:ascii="仿宋" w:hAnsi="仿宋" w:eastAsia="仿宋" w:cs="仿宋"/>
          <w:b/>
          <w:color w:val="000000" w:themeColor="text1"/>
          <w:kern w:val="0"/>
          <w:sz w:val="28"/>
          <w:szCs w:val="24"/>
          <w:highlight w:val="none"/>
          <w:shd w:val="clear" w:color="auto" w:fill="FFFFFF"/>
        </w:rPr>
      </w:pPr>
    </w:p>
    <w:p>
      <w:pPr>
        <w:pStyle w:val="39"/>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spacing w:line="0" w:lineRule="atLeast"/>
        <w:ind w:left="3260"/>
        <w:rPr>
          <w:rFonts w:hint="eastAsia" w:ascii="仿宋" w:hAnsi="仿宋" w:eastAsia="仿宋" w:cs="仿宋"/>
          <w:b/>
          <w:color w:val="000000" w:themeColor="text1"/>
          <w:sz w:val="30"/>
          <w:szCs w:val="30"/>
          <w:highlight w:val="none"/>
        </w:rPr>
      </w:pPr>
      <w:r>
        <w:rPr>
          <w:rFonts w:hint="eastAsia" w:ascii="仿宋" w:hAnsi="仿宋" w:eastAsia="仿宋" w:cs="仿宋"/>
          <w:b/>
          <w:color w:val="000000" w:themeColor="text1"/>
          <w:sz w:val="30"/>
          <w:szCs w:val="30"/>
          <w:highlight w:val="none"/>
        </w:rPr>
        <w:t>财务状况报告</w:t>
      </w:r>
    </w:p>
    <w:p>
      <w:pPr>
        <w:spacing w:line="0" w:lineRule="atLeast"/>
        <w:ind w:left="3260"/>
        <w:rPr>
          <w:rFonts w:hint="eastAsia" w:ascii="仿宋" w:hAnsi="仿宋" w:eastAsia="仿宋" w:cs="仿宋"/>
          <w:b/>
          <w:color w:val="000000" w:themeColor="text1"/>
          <w:sz w:val="30"/>
          <w:szCs w:val="30"/>
          <w:highlight w:val="none"/>
        </w:rPr>
      </w:pPr>
    </w:p>
    <w:p>
      <w:pPr>
        <w:spacing w:line="248" w:lineRule="exact"/>
        <w:rPr>
          <w:rFonts w:hint="eastAsia" w:ascii="仿宋" w:hAnsi="仿宋" w:eastAsia="仿宋" w:cs="仿宋"/>
          <w:color w:val="000000" w:themeColor="text1"/>
          <w:sz w:val="24"/>
          <w:szCs w:val="24"/>
          <w:highlight w:val="none"/>
        </w:rPr>
      </w:pPr>
    </w:p>
    <w:p>
      <w:pPr>
        <w:spacing w:line="0" w:lineRule="atLeast"/>
        <w:ind w:left="1740"/>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（附 2018 年财务审计报告复印件加盖公章）</w:t>
      </w:r>
    </w:p>
    <w:p>
      <w:pPr>
        <w:spacing w:line="0" w:lineRule="atLeast"/>
        <w:ind w:left="1740"/>
        <w:rPr>
          <w:rFonts w:hint="eastAsia" w:ascii="仿宋" w:hAnsi="仿宋" w:eastAsia="仿宋" w:cs="仿宋"/>
          <w:b/>
          <w:color w:val="000000" w:themeColor="text1"/>
          <w:sz w:val="24"/>
          <w:szCs w:val="24"/>
          <w:highlight w:val="none"/>
        </w:rPr>
      </w:pPr>
    </w:p>
    <w:p>
      <w:pPr>
        <w:spacing w:line="0" w:lineRule="atLeast"/>
        <w:ind w:left="1740"/>
        <w:rPr>
          <w:rFonts w:hint="eastAsia" w:ascii="仿宋" w:hAnsi="仿宋" w:eastAsia="仿宋" w:cs="仿宋"/>
          <w:b/>
          <w:color w:val="000000" w:themeColor="text1"/>
          <w:sz w:val="24"/>
          <w:szCs w:val="24"/>
          <w:highlight w:val="none"/>
        </w:rPr>
      </w:pPr>
    </w:p>
    <w:p>
      <w:pPr>
        <w:spacing w:line="0" w:lineRule="atLeast"/>
        <w:ind w:left="1740"/>
        <w:rPr>
          <w:rFonts w:hint="eastAsia" w:ascii="仿宋" w:hAnsi="仿宋" w:eastAsia="仿宋" w:cs="仿宋"/>
          <w:b/>
          <w:color w:val="000000" w:themeColor="text1"/>
          <w:sz w:val="24"/>
          <w:szCs w:val="24"/>
          <w:highlight w:val="none"/>
        </w:rPr>
      </w:pPr>
    </w:p>
    <w:p>
      <w:pPr>
        <w:spacing w:line="0" w:lineRule="atLeast"/>
        <w:ind w:left="1740"/>
        <w:rPr>
          <w:rFonts w:hint="eastAsia" w:ascii="仿宋" w:hAnsi="仿宋" w:eastAsia="仿宋" w:cs="仿宋"/>
          <w:b/>
          <w:color w:val="000000" w:themeColor="text1"/>
          <w:sz w:val="24"/>
          <w:szCs w:val="24"/>
          <w:highlight w:val="none"/>
        </w:rPr>
      </w:pPr>
    </w:p>
    <w:p>
      <w:pPr>
        <w:spacing w:line="0" w:lineRule="atLeast"/>
        <w:ind w:left="1740"/>
        <w:rPr>
          <w:rFonts w:hint="eastAsia" w:ascii="仿宋" w:hAnsi="仿宋" w:eastAsia="仿宋" w:cs="仿宋"/>
          <w:b/>
          <w:color w:val="000000" w:themeColor="text1"/>
          <w:sz w:val="24"/>
          <w:szCs w:val="24"/>
          <w:highlight w:val="none"/>
        </w:rPr>
      </w:pPr>
    </w:p>
    <w:p>
      <w:pPr>
        <w:spacing w:line="0" w:lineRule="atLeast"/>
        <w:ind w:left="1740"/>
        <w:rPr>
          <w:rFonts w:hint="eastAsia" w:ascii="仿宋" w:hAnsi="仿宋" w:eastAsia="仿宋" w:cs="仿宋"/>
          <w:b/>
          <w:color w:val="000000" w:themeColor="text1"/>
          <w:sz w:val="24"/>
          <w:szCs w:val="24"/>
          <w:highlight w:val="none"/>
        </w:rPr>
      </w:pPr>
    </w:p>
    <w:p>
      <w:pPr>
        <w:spacing w:line="166" w:lineRule="exact"/>
        <w:rPr>
          <w:rFonts w:hint="eastAsia" w:ascii="仿宋" w:hAnsi="仿宋" w:eastAsia="仿宋" w:cs="仿宋"/>
          <w:color w:val="000000" w:themeColor="text1"/>
          <w:sz w:val="24"/>
          <w:szCs w:val="24"/>
          <w:highlight w:val="none"/>
        </w:rPr>
      </w:pPr>
    </w:p>
    <w:p>
      <w:pPr>
        <w:kinsoku w:val="0"/>
        <w:overflowPunct w:val="0"/>
        <w:autoSpaceDE w:val="0"/>
        <w:autoSpaceDN w:val="0"/>
        <w:spacing w:line="50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注：成立时间至提交投标文件截止时间不足一年的单位可提供成立后任意时段的资产负债表，或其基本存款账户开户银行出具的资信证明及基本存款账户开户许可证（新成立公司，可不提供），或陕西省政府采购信用担保机构出具的投标担保函；以上形式的证明资料提供任何一种即可。提供相关证明材料复印件加盖公章。</w:t>
      </w: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jc w:val="left"/>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spacing w:line="0" w:lineRule="atLeast"/>
        <w:rPr>
          <w:rFonts w:hint="eastAsia" w:ascii="仿宋" w:hAnsi="仿宋" w:eastAsia="仿宋" w:cs="仿宋"/>
          <w:b/>
          <w:color w:val="000000" w:themeColor="text1"/>
          <w:sz w:val="28"/>
          <w:highlight w:val="none"/>
        </w:rPr>
      </w:pPr>
    </w:p>
    <w:p>
      <w:pPr>
        <w:spacing w:line="0" w:lineRule="atLeast"/>
        <w:jc w:val="center"/>
        <w:rPr>
          <w:rFonts w:hint="eastAsia" w:ascii="仿宋" w:hAnsi="仿宋" w:eastAsia="仿宋" w:cs="仿宋"/>
          <w:b/>
          <w:color w:val="000000" w:themeColor="text1"/>
          <w:sz w:val="30"/>
          <w:szCs w:val="30"/>
          <w:highlight w:val="none"/>
        </w:rPr>
      </w:pPr>
    </w:p>
    <w:p>
      <w:pPr>
        <w:spacing w:line="0" w:lineRule="atLeast"/>
        <w:jc w:val="center"/>
        <w:rPr>
          <w:rFonts w:hint="eastAsia" w:ascii="仿宋" w:hAnsi="仿宋" w:eastAsia="仿宋" w:cs="仿宋"/>
          <w:b/>
          <w:color w:val="000000" w:themeColor="text1"/>
          <w:sz w:val="30"/>
          <w:szCs w:val="30"/>
          <w:highlight w:val="none"/>
        </w:rPr>
      </w:pPr>
      <w:r>
        <w:rPr>
          <w:rFonts w:hint="eastAsia" w:ascii="仿宋" w:hAnsi="仿宋" w:eastAsia="仿宋" w:cs="仿宋"/>
          <w:b/>
          <w:color w:val="000000" w:themeColor="text1"/>
          <w:sz w:val="30"/>
          <w:szCs w:val="30"/>
          <w:highlight w:val="none"/>
        </w:rPr>
        <w:t>税收缴纳证明</w:t>
      </w:r>
    </w:p>
    <w:p>
      <w:pPr>
        <w:spacing w:line="262" w:lineRule="exact"/>
        <w:rPr>
          <w:rFonts w:hint="eastAsia" w:ascii="仿宋" w:hAnsi="仿宋" w:eastAsia="仿宋" w:cs="仿宋"/>
          <w:color w:val="000000" w:themeColor="text1"/>
          <w:highlight w:val="none"/>
        </w:rPr>
      </w:pPr>
    </w:p>
    <w:p>
      <w:pPr>
        <w:spacing w:line="500" w:lineRule="exact"/>
        <w:rPr>
          <w:rFonts w:hint="eastAsia" w:ascii="仿宋" w:hAnsi="仿宋" w:eastAsia="仿宋" w:cs="仿宋"/>
          <w:color w:val="000000" w:themeColor="text1"/>
          <w:sz w:val="24"/>
          <w:szCs w:val="24"/>
          <w:highlight w:val="none"/>
        </w:rPr>
      </w:pPr>
    </w:p>
    <w:p>
      <w:pPr>
        <w:spacing w:line="500" w:lineRule="exact"/>
        <w:rPr>
          <w:rFonts w:hint="eastAsia" w:ascii="仿宋" w:hAnsi="仿宋" w:eastAsia="仿宋" w:cs="仿宋"/>
          <w:color w:val="000000" w:themeColor="text1"/>
          <w:sz w:val="24"/>
          <w:szCs w:val="24"/>
          <w:highlight w:val="none"/>
        </w:rPr>
      </w:pPr>
    </w:p>
    <w:p>
      <w:pPr>
        <w:pStyle w:val="39"/>
        <w:spacing w:line="500" w:lineRule="exact"/>
        <w:jc w:val="center"/>
        <w:rPr>
          <w:rFonts w:hint="eastAsia" w:ascii="仿宋" w:hAnsi="仿宋" w:eastAsia="仿宋" w:cs="仿宋"/>
          <w:bCs/>
          <w:color w:val="000000" w:themeColor="text1"/>
          <w:szCs w:val="24"/>
          <w:highlight w:val="none"/>
          <w:u w:val="none"/>
        </w:rPr>
      </w:pPr>
      <w:r>
        <w:rPr>
          <w:rFonts w:hint="eastAsia" w:ascii="仿宋" w:hAnsi="仿宋" w:eastAsia="仿宋" w:cs="仿宋"/>
          <w:bCs/>
          <w:color w:val="000000" w:themeColor="text1"/>
          <w:szCs w:val="24"/>
          <w:highlight w:val="none"/>
          <w:u w:val="none"/>
        </w:rPr>
        <w:t>提供相关证明材料复印件加盖公章</w:t>
      </w: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spacing w:line="500" w:lineRule="exact"/>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【附：提供投标人2019年1月至今已缴纳任意一个月完税凭证或税务机关开具的完税证明（任意税种）复印件加盖公章；依法免税的应提供相关证明文件复印件加盖公章】</w:t>
      </w: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pStyle w:val="39"/>
        <w:ind w:firstLine="482" w:firstLineChars="200"/>
        <w:rPr>
          <w:rFonts w:hint="eastAsia" w:ascii="仿宋" w:hAnsi="仿宋" w:eastAsia="仿宋" w:cs="仿宋"/>
          <w:b/>
          <w:color w:val="000000" w:themeColor="text1"/>
          <w:szCs w:val="24"/>
          <w:highlight w:val="none"/>
        </w:rPr>
      </w:pPr>
    </w:p>
    <w:p>
      <w:pPr>
        <w:spacing w:line="131" w:lineRule="exact"/>
        <w:rPr>
          <w:rFonts w:hint="eastAsia" w:ascii="仿宋" w:hAnsi="仿宋" w:eastAsia="仿宋" w:cs="仿宋"/>
          <w:color w:val="000000" w:themeColor="text1"/>
          <w:highlight w:val="none"/>
        </w:rPr>
      </w:pPr>
    </w:p>
    <w:p>
      <w:pPr>
        <w:spacing w:line="500" w:lineRule="exact"/>
        <w:jc w:val="center"/>
        <w:rPr>
          <w:rFonts w:hint="eastAsia" w:ascii="仿宋" w:hAnsi="仿宋" w:eastAsia="仿宋" w:cs="仿宋"/>
          <w:b/>
          <w:color w:val="000000" w:themeColor="text1"/>
          <w:sz w:val="30"/>
          <w:szCs w:val="30"/>
          <w:highlight w:val="none"/>
        </w:rPr>
      </w:pPr>
    </w:p>
    <w:p>
      <w:pPr>
        <w:spacing w:line="500" w:lineRule="exact"/>
        <w:jc w:val="center"/>
        <w:rPr>
          <w:rFonts w:hint="eastAsia" w:ascii="仿宋" w:hAnsi="仿宋" w:eastAsia="仿宋" w:cs="仿宋"/>
          <w:b/>
          <w:color w:val="000000" w:themeColor="text1"/>
          <w:sz w:val="30"/>
          <w:szCs w:val="30"/>
          <w:highlight w:val="none"/>
        </w:rPr>
      </w:pPr>
      <w:r>
        <w:rPr>
          <w:rFonts w:hint="eastAsia" w:ascii="仿宋" w:hAnsi="仿宋" w:eastAsia="仿宋" w:cs="仿宋"/>
          <w:b/>
          <w:color w:val="000000" w:themeColor="text1"/>
          <w:sz w:val="30"/>
          <w:szCs w:val="30"/>
          <w:highlight w:val="none"/>
        </w:rPr>
        <w:t>企业社会保障资金缴纳证明</w:t>
      </w:r>
    </w:p>
    <w:p>
      <w:pPr>
        <w:spacing w:line="500" w:lineRule="exact"/>
        <w:jc w:val="center"/>
        <w:rPr>
          <w:rFonts w:hint="eastAsia" w:ascii="仿宋" w:hAnsi="仿宋" w:eastAsia="仿宋" w:cs="仿宋"/>
          <w:b/>
          <w:color w:val="000000" w:themeColor="text1"/>
          <w:sz w:val="24"/>
          <w:highlight w:val="none"/>
        </w:rPr>
      </w:pPr>
    </w:p>
    <w:p>
      <w:pPr>
        <w:spacing w:line="500" w:lineRule="exact"/>
        <w:jc w:val="center"/>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提供相关证明材料复印件加盖公章</w:t>
      </w:r>
    </w:p>
    <w:p>
      <w:pPr>
        <w:spacing w:line="500" w:lineRule="exact"/>
        <w:jc w:val="center"/>
        <w:rPr>
          <w:rFonts w:hint="eastAsia" w:ascii="仿宋" w:hAnsi="仿宋" w:eastAsia="仿宋" w:cs="仿宋"/>
          <w:b/>
          <w:color w:val="000000" w:themeColor="text1"/>
          <w:sz w:val="24"/>
          <w:highlight w:val="none"/>
        </w:rPr>
      </w:pPr>
    </w:p>
    <w:p>
      <w:pPr>
        <w:spacing w:line="500" w:lineRule="exact"/>
        <w:jc w:val="center"/>
        <w:rPr>
          <w:rFonts w:hint="eastAsia" w:ascii="仿宋" w:hAnsi="仿宋" w:eastAsia="仿宋" w:cs="仿宋"/>
          <w:b/>
          <w:color w:val="000000" w:themeColor="text1"/>
          <w:sz w:val="24"/>
          <w:highlight w:val="none"/>
        </w:rPr>
      </w:pPr>
    </w:p>
    <w:p>
      <w:pPr>
        <w:spacing w:line="500" w:lineRule="exact"/>
        <w:jc w:val="center"/>
        <w:rPr>
          <w:rFonts w:hint="eastAsia" w:ascii="仿宋" w:hAnsi="仿宋" w:eastAsia="仿宋" w:cs="仿宋"/>
          <w:b/>
          <w:color w:val="000000" w:themeColor="text1"/>
          <w:sz w:val="24"/>
          <w:highlight w:val="none"/>
        </w:rPr>
      </w:pPr>
    </w:p>
    <w:p>
      <w:pPr>
        <w:spacing w:line="500" w:lineRule="exact"/>
        <w:jc w:val="left"/>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（附：</w:t>
      </w:r>
      <w:r>
        <w:rPr>
          <w:rFonts w:hint="eastAsia" w:ascii="仿宋" w:hAnsi="仿宋" w:eastAsia="仿宋" w:cs="仿宋"/>
          <w:b/>
          <w:color w:val="000000" w:themeColor="text1"/>
          <w:sz w:val="24"/>
          <w:szCs w:val="22"/>
          <w:highlight w:val="none"/>
        </w:rPr>
        <w:t>提供投标人2019年1月至今已缴存的任意一个月的社会保障资金缴存单据或社保机构开具的社会保险参保缴费情况证明复印件加盖公章；依法不需要缴纳社会保障资金的应提供相关证明文件复印件加盖公章</w:t>
      </w:r>
      <w:r>
        <w:rPr>
          <w:rFonts w:hint="eastAsia" w:ascii="仿宋" w:hAnsi="仿宋" w:eastAsia="仿宋" w:cs="仿宋"/>
          <w:b/>
          <w:color w:val="000000" w:themeColor="text1"/>
          <w:sz w:val="24"/>
          <w:highlight w:val="none"/>
        </w:rPr>
        <w:t>）</w:t>
      </w:r>
    </w:p>
    <w:p>
      <w:pPr>
        <w:spacing w:line="500" w:lineRule="exact"/>
        <w:rPr>
          <w:rFonts w:hint="eastAsia" w:ascii="仿宋" w:hAnsi="仿宋" w:eastAsia="仿宋" w:cs="仿宋"/>
          <w:color w:val="000000" w:themeColor="text1"/>
          <w:highlight w:val="none"/>
        </w:rPr>
      </w:pPr>
    </w:p>
    <w:p>
      <w:pPr>
        <w:spacing w:line="500" w:lineRule="exact"/>
        <w:ind w:left="2340"/>
        <w:rPr>
          <w:rFonts w:hint="eastAsia" w:ascii="仿宋" w:hAnsi="仿宋" w:eastAsia="仿宋" w:cs="仿宋"/>
          <w:b/>
          <w:color w:val="000000" w:themeColor="text1"/>
          <w:sz w:val="24"/>
          <w:highlight w:val="none"/>
        </w:rPr>
      </w:pPr>
    </w:p>
    <w:p>
      <w:pPr>
        <w:spacing w:line="500" w:lineRule="exac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ind w:left="2340"/>
        <w:rPr>
          <w:rFonts w:hint="eastAsia" w:ascii="仿宋" w:hAnsi="仿宋" w:eastAsia="仿宋" w:cs="仿宋"/>
          <w:b/>
          <w:color w:val="000000" w:themeColor="text1"/>
          <w:sz w:val="24"/>
          <w:highlight w:val="none"/>
        </w:rPr>
      </w:pPr>
    </w:p>
    <w:p>
      <w:pPr>
        <w:spacing w:line="0" w:lineRule="atLeast"/>
        <w:rPr>
          <w:rFonts w:hint="eastAsia" w:ascii="仿宋" w:hAnsi="仿宋" w:eastAsia="仿宋" w:cs="仿宋"/>
          <w:b/>
          <w:color w:val="000000" w:themeColor="text1"/>
          <w:sz w:val="24"/>
          <w:highlight w:val="none"/>
        </w:rPr>
      </w:pPr>
    </w:p>
    <w:p>
      <w:pPr>
        <w:pStyle w:val="4"/>
        <w:jc w:val="center"/>
        <w:rPr>
          <w:rFonts w:hint="eastAsia" w:ascii="仿宋" w:hAnsi="仿宋" w:eastAsia="仿宋" w:cs="仿宋"/>
          <w:color w:val="000000" w:themeColor="text1"/>
          <w:sz w:val="30"/>
          <w:szCs w:val="30"/>
          <w:highlight w:val="none"/>
        </w:rPr>
      </w:pPr>
      <w:bookmarkStart w:id="205" w:name="_Toc4168"/>
      <w:bookmarkStart w:id="206" w:name="_Toc16699"/>
      <w:bookmarkStart w:id="207" w:name="_Toc5659"/>
      <w:bookmarkStart w:id="208" w:name="_Toc27363"/>
      <w:bookmarkStart w:id="209" w:name="_Toc28934"/>
      <w:r>
        <w:rPr>
          <w:rFonts w:hint="eastAsia" w:ascii="仿宋" w:hAnsi="仿宋" w:eastAsia="仿宋" w:cs="仿宋"/>
          <w:color w:val="000000" w:themeColor="text1"/>
          <w:sz w:val="30"/>
          <w:szCs w:val="30"/>
          <w:highlight w:val="none"/>
        </w:rPr>
        <w:t>附件11  中小企业声明函</w:t>
      </w:r>
      <w:bookmarkEnd w:id="205"/>
      <w:bookmarkEnd w:id="206"/>
      <w:bookmarkEnd w:id="207"/>
      <w:bookmarkEnd w:id="208"/>
      <w:bookmarkEnd w:id="209"/>
    </w:p>
    <w:p>
      <w:pPr>
        <w:jc w:val="center"/>
        <w:rPr>
          <w:rFonts w:hint="eastAsia" w:ascii="仿宋" w:hAnsi="仿宋" w:eastAsia="仿宋" w:cs="仿宋"/>
          <w:color w:val="000000" w:themeColor="text1"/>
          <w:sz w:val="24"/>
          <w:szCs w:val="24"/>
          <w:highlight w:val="none"/>
        </w:rPr>
      </w:pPr>
      <w:r>
        <w:rPr>
          <w:rFonts w:hint="eastAsia" w:ascii="仿宋" w:hAnsi="仿宋" w:eastAsia="仿宋" w:cs="仿宋"/>
          <w:b/>
          <w:bCs/>
          <w:color w:val="000000" w:themeColor="text1"/>
          <w:sz w:val="24"/>
          <w:szCs w:val="24"/>
          <w:highlight w:val="none"/>
        </w:rPr>
        <w:t>中小企业声明函</w:t>
      </w:r>
    </w:p>
    <w:p>
      <w:pPr>
        <w:rPr>
          <w:rFonts w:hint="eastAsia" w:ascii="仿宋" w:hAnsi="仿宋" w:eastAsia="仿宋" w:cs="仿宋"/>
          <w:color w:val="000000" w:themeColor="text1"/>
          <w:highlight w:val="none"/>
        </w:rPr>
      </w:pPr>
    </w:p>
    <w:p>
      <w:pPr>
        <w:rPr>
          <w:rFonts w:hint="eastAsia" w:ascii="仿宋" w:hAnsi="仿宋" w:eastAsia="仿宋" w:cs="仿宋"/>
          <w:color w:val="000000" w:themeColor="text1"/>
          <w:sz w:val="28"/>
          <w:szCs w:val="28"/>
          <w:highlight w:val="none"/>
        </w:rPr>
      </w:pPr>
    </w:p>
    <w:p>
      <w:pPr>
        <w:spacing w:line="50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本公司郑重声明，根据《政府采购促进中小企业发展暂行办法》（财库[2011]181号）的规定，本公司为</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（请填写：中型、小型、微型）企业。即，本公司同时满足以下条件：</w:t>
      </w:r>
    </w:p>
    <w:p>
      <w:pPr>
        <w:spacing w:line="50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（请填写：中型、小型、微型）企业。</w:t>
      </w:r>
    </w:p>
    <w:p>
      <w:pPr>
        <w:spacing w:line="50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2、本公司参加</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单位的</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项目采购活动提供本企业制造的货物，由本企业承担工程、提供服务，或者提供其他</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（请填写：中型、小型、微型）企业制造的货物。本条所称货物不包括使用大型企业注册商标的货物。</w:t>
      </w:r>
    </w:p>
    <w:p>
      <w:pPr>
        <w:spacing w:line="500" w:lineRule="exact"/>
        <w:ind w:firstLine="42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本公司对上述声明的真实性负责。如有虚假，将依法承担相应责任。</w:t>
      </w:r>
    </w:p>
    <w:p>
      <w:pPr>
        <w:spacing w:line="360" w:lineRule="auto"/>
        <w:rPr>
          <w:rFonts w:hint="eastAsia" w:ascii="仿宋" w:hAnsi="仿宋" w:eastAsia="仿宋" w:cs="仿宋"/>
          <w:color w:val="000000" w:themeColor="text1"/>
          <w:sz w:val="24"/>
          <w:szCs w:val="24"/>
          <w:highlight w:val="none"/>
        </w:rPr>
      </w:pPr>
    </w:p>
    <w:p>
      <w:pPr>
        <w:spacing w:line="360" w:lineRule="auto"/>
        <w:rPr>
          <w:rFonts w:hint="eastAsia" w:ascii="仿宋" w:hAnsi="仿宋" w:eastAsia="仿宋" w:cs="仿宋"/>
          <w:color w:val="000000" w:themeColor="text1"/>
          <w:sz w:val="24"/>
          <w:szCs w:val="24"/>
          <w:highlight w:val="none"/>
        </w:rPr>
      </w:pPr>
    </w:p>
    <w:p>
      <w:pPr>
        <w:spacing w:line="360" w:lineRule="auto"/>
        <w:rPr>
          <w:rFonts w:hint="eastAsia" w:ascii="仿宋" w:hAnsi="仿宋" w:eastAsia="仿宋" w:cs="仿宋"/>
          <w:color w:val="000000" w:themeColor="text1"/>
          <w:sz w:val="24"/>
          <w:szCs w:val="24"/>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adjustRightInd w:val="0"/>
        <w:snapToGrid w:val="0"/>
        <w:spacing w:line="500" w:lineRule="exact"/>
        <w:jc w:val="right"/>
        <w:rPr>
          <w:rFonts w:hint="eastAsia" w:ascii="仿宋" w:hAnsi="仿宋" w:eastAsia="仿宋" w:cs="仿宋"/>
          <w:b/>
          <w:color w:val="000000" w:themeColor="text1"/>
          <w:sz w:val="32"/>
          <w:szCs w:val="32"/>
          <w:highlight w:val="none"/>
        </w:rPr>
      </w:pPr>
      <w:r>
        <w:rPr>
          <w:rFonts w:hint="eastAsia" w:ascii="仿宋" w:hAnsi="仿宋" w:eastAsia="仿宋" w:cs="仿宋"/>
          <w:color w:val="000000" w:themeColor="text1"/>
          <w:sz w:val="24"/>
          <w:highlight w:val="none"/>
        </w:rPr>
        <w:t xml:space="preserve">                        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spacing w:line="360" w:lineRule="auto"/>
        <w:ind w:firstLine="4800" w:firstLineChars="2000"/>
        <w:rPr>
          <w:rFonts w:hint="eastAsia" w:ascii="仿宋" w:hAnsi="仿宋" w:eastAsia="仿宋" w:cs="仿宋"/>
          <w:i/>
          <w:iCs/>
          <w:color w:val="000000" w:themeColor="text1"/>
          <w:sz w:val="24"/>
          <w:szCs w:val="24"/>
          <w:highlight w:val="none"/>
          <w:u w:val="single"/>
        </w:rPr>
      </w:pPr>
    </w:p>
    <w:p>
      <w:pPr>
        <w:adjustRightInd w:val="0"/>
        <w:snapToGrid w:val="0"/>
        <w:spacing w:line="500" w:lineRule="exact"/>
        <w:jc w:val="center"/>
        <w:outlineLvl w:val="1"/>
        <w:rPr>
          <w:rFonts w:hint="eastAsia" w:ascii="仿宋" w:hAnsi="仿宋" w:eastAsia="仿宋" w:cs="仿宋"/>
          <w:b/>
          <w:bCs/>
          <w:color w:val="000000" w:themeColor="text1"/>
          <w:sz w:val="28"/>
          <w:szCs w:val="28"/>
          <w:highlight w:val="none"/>
        </w:rPr>
      </w:pPr>
      <w:bookmarkStart w:id="210" w:name="_Toc12079"/>
      <w:bookmarkStart w:id="211" w:name="_Toc31131"/>
      <w:bookmarkStart w:id="212" w:name="_Toc16941"/>
      <w:bookmarkStart w:id="213" w:name="_Toc1265"/>
      <w:r>
        <w:rPr>
          <w:rFonts w:hint="eastAsia" w:ascii="仿宋" w:hAnsi="仿宋" w:eastAsia="仿宋" w:cs="仿宋"/>
          <w:b/>
          <w:color w:val="000000" w:themeColor="text1"/>
          <w:sz w:val="28"/>
          <w:szCs w:val="28"/>
          <w:highlight w:val="none"/>
        </w:rPr>
        <w:t>附件12   “节能</w:t>
      </w:r>
      <w:r>
        <w:rPr>
          <w:rFonts w:hint="eastAsia" w:ascii="仿宋" w:hAnsi="仿宋" w:eastAsia="仿宋" w:cs="仿宋"/>
          <w:b/>
          <w:bCs/>
          <w:color w:val="000000" w:themeColor="text1"/>
          <w:sz w:val="28"/>
          <w:szCs w:val="28"/>
          <w:highlight w:val="none"/>
        </w:rPr>
        <w:t>产品</w:t>
      </w:r>
      <w:r>
        <w:rPr>
          <w:rFonts w:hint="eastAsia" w:ascii="仿宋" w:hAnsi="仿宋" w:eastAsia="仿宋" w:cs="仿宋"/>
          <w:b/>
          <w:color w:val="000000" w:themeColor="text1"/>
          <w:sz w:val="28"/>
          <w:szCs w:val="28"/>
          <w:highlight w:val="none"/>
        </w:rPr>
        <w:t>”、“环境标志</w:t>
      </w:r>
      <w:r>
        <w:rPr>
          <w:rFonts w:hint="eastAsia" w:ascii="仿宋" w:hAnsi="仿宋" w:eastAsia="仿宋" w:cs="仿宋"/>
          <w:b/>
          <w:bCs/>
          <w:color w:val="000000" w:themeColor="text1"/>
          <w:sz w:val="28"/>
          <w:szCs w:val="28"/>
          <w:highlight w:val="none"/>
        </w:rPr>
        <w:t>产品</w:t>
      </w:r>
      <w:r>
        <w:rPr>
          <w:rFonts w:hint="eastAsia" w:ascii="仿宋" w:hAnsi="仿宋" w:eastAsia="仿宋" w:cs="仿宋"/>
          <w:b/>
          <w:color w:val="000000" w:themeColor="text1"/>
          <w:sz w:val="28"/>
          <w:szCs w:val="28"/>
          <w:highlight w:val="none"/>
        </w:rPr>
        <w:t>”证明材料</w:t>
      </w:r>
      <w:bookmarkEnd w:id="210"/>
      <w:bookmarkEnd w:id="211"/>
      <w:bookmarkEnd w:id="212"/>
      <w:bookmarkEnd w:id="213"/>
    </w:p>
    <w:p>
      <w:pPr>
        <w:spacing w:line="500" w:lineRule="exact"/>
        <w:rPr>
          <w:rFonts w:hint="eastAsia" w:ascii="仿宋" w:hAnsi="仿宋" w:eastAsia="仿宋" w:cs="仿宋"/>
          <w:color w:val="000000" w:themeColor="text1"/>
          <w:szCs w:val="21"/>
          <w:highlight w:val="none"/>
        </w:rPr>
      </w:pPr>
    </w:p>
    <w:p>
      <w:pPr>
        <w:adjustRightInd w:val="0"/>
        <w:snapToGrid w:val="0"/>
        <w:spacing w:line="500" w:lineRule="exac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说明：1、投标人提供的产品属于下列情形，应按第三章评标办法第4.2.2款规定提供相关证明材料(清单或目录所在页复印件)，并在《货物分项报价表》中提供相应数据。</w:t>
      </w:r>
    </w:p>
    <w:p>
      <w:pPr>
        <w:numPr>
          <w:ilvl w:val="0"/>
          <w:numId w:val="21"/>
        </w:numPr>
        <w:adjustRightInd w:val="0"/>
        <w:snapToGrid w:val="0"/>
        <w:spacing w:line="500" w:lineRule="exact"/>
        <w:ind w:firstLine="720" w:firstLineChars="300"/>
        <w:rPr>
          <w:rFonts w:hint="eastAsia" w:ascii="仿宋" w:hAnsi="仿宋" w:eastAsia="仿宋" w:cs="仿宋"/>
          <w:color w:val="000000" w:themeColor="text1"/>
          <w:sz w:val="24"/>
          <w:szCs w:val="24"/>
          <w:highlight w:val="none"/>
        </w:rPr>
      </w:pPr>
      <w:r>
        <w:rPr>
          <w:rFonts w:hint="eastAsia" w:ascii="仿宋" w:hAnsi="仿宋" w:eastAsia="仿宋" w:cs="仿宋"/>
          <w:bCs/>
          <w:color w:val="000000" w:themeColor="text1"/>
          <w:sz w:val="24"/>
          <w:szCs w:val="24"/>
          <w:highlight w:val="none"/>
        </w:rPr>
        <w:t>符合</w:t>
      </w:r>
      <w:r>
        <w:rPr>
          <w:rFonts w:hint="eastAsia" w:ascii="仿宋" w:hAnsi="仿宋" w:eastAsia="仿宋" w:cs="仿宋"/>
          <w:color w:val="000000" w:themeColor="text1"/>
          <w:sz w:val="24"/>
          <w:szCs w:val="24"/>
          <w:highlight w:val="none"/>
        </w:rPr>
        <w:t>政府采购强制采购政策的(《节能产品政府采购清单》中标记★符号节能产品及其他强制采购产品)；</w:t>
      </w:r>
    </w:p>
    <w:p>
      <w:pPr>
        <w:numPr>
          <w:ilvl w:val="0"/>
          <w:numId w:val="21"/>
        </w:numPr>
        <w:adjustRightInd w:val="0"/>
        <w:snapToGrid w:val="0"/>
        <w:spacing w:line="500" w:lineRule="exact"/>
        <w:ind w:firstLine="720" w:firstLineChars="300"/>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符合</w:t>
      </w:r>
      <w:r>
        <w:rPr>
          <w:rFonts w:hint="eastAsia" w:ascii="仿宋" w:hAnsi="仿宋" w:eastAsia="仿宋" w:cs="仿宋"/>
          <w:color w:val="000000" w:themeColor="text1"/>
          <w:sz w:val="24"/>
          <w:szCs w:val="24"/>
          <w:highlight w:val="none"/>
        </w:rPr>
        <w:t>政府采购优先采购政策的(《节能产品政府采购清单》中非标记★符号节能产品，《环境标志产品政府采购清单》中环境标志</w:t>
      </w:r>
      <w:r>
        <w:rPr>
          <w:rFonts w:hint="eastAsia" w:ascii="仿宋" w:hAnsi="仿宋" w:eastAsia="仿宋" w:cs="仿宋"/>
          <w:bCs/>
          <w:color w:val="000000" w:themeColor="text1"/>
          <w:sz w:val="24"/>
          <w:szCs w:val="24"/>
          <w:highlight w:val="none"/>
        </w:rPr>
        <w:t>产品</w:t>
      </w:r>
      <w:r>
        <w:rPr>
          <w:rFonts w:hint="eastAsia" w:ascii="仿宋" w:hAnsi="仿宋" w:eastAsia="仿宋" w:cs="仿宋"/>
          <w:color w:val="000000" w:themeColor="text1"/>
          <w:sz w:val="24"/>
          <w:szCs w:val="24"/>
          <w:highlight w:val="none"/>
        </w:rPr>
        <w:t>。</w:t>
      </w:r>
    </w:p>
    <w:p>
      <w:pPr>
        <w:adjustRightInd w:val="0"/>
        <w:snapToGrid w:val="0"/>
        <w:spacing w:line="500" w:lineRule="exact"/>
        <w:ind w:firstLine="638" w:firstLineChars="266"/>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2、未按上述要求提供、</w:t>
      </w:r>
      <w:r>
        <w:rPr>
          <w:rFonts w:hint="eastAsia" w:ascii="仿宋" w:hAnsi="仿宋" w:eastAsia="仿宋" w:cs="仿宋"/>
          <w:color w:val="000000" w:themeColor="text1"/>
          <w:sz w:val="24"/>
          <w:szCs w:val="24"/>
          <w:highlight w:val="none"/>
        </w:rPr>
        <w:t>填写</w:t>
      </w:r>
      <w:r>
        <w:rPr>
          <w:rFonts w:hint="eastAsia" w:ascii="仿宋" w:hAnsi="仿宋" w:eastAsia="仿宋" w:cs="仿宋"/>
          <w:bCs/>
          <w:color w:val="000000" w:themeColor="text1"/>
          <w:sz w:val="24"/>
          <w:szCs w:val="24"/>
          <w:highlight w:val="none"/>
        </w:rPr>
        <w:t>的，评标时不予以考虑。</w:t>
      </w: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500" w:lineRule="exact"/>
        <w:rPr>
          <w:rFonts w:hint="eastAsia" w:ascii="仿宋" w:hAnsi="仿宋" w:eastAsia="仿宋" w:cs="仿宋"/>
          <w:bCs/>
          <w:color w:val="000000" w:themeColor="text1"/>
          <w:szCs w:val="21"/>
          <w:highlight w:val="none"/>
        </w:rPr>
      </w:pPr>
    </w:p>
    <w:p>
      <w:pPr>
        <w:spacing w:line="360" w:lineRule="auto"/>
        <w:ind w:firstLine="4200" w:firstLineChars="2000"/>
        <w:rPr>
          <w:rFonts w:hint="eastAsia" w:ascii="仿宋" w:hAnsi="仿宋" w:eastAsia="仿宋" w:cs="仿宋"/>
          <w:color w:val="000000" w:themeColor="text1"/>
          <w:szCs w:val="21"/>
          <w:highlight w:val="none"/>
        </w:rPr>
      </w:pPr>
    </w:p>
    <w:p>
      <w:pPr>
        <w:spacing w:line="588" w:lineRule="exact"/>
        <w:outlineLvl w:val="1"/>
        <w:rPr>
          <w:rFonts w:hint="eastAsia" w:ascii="仿宋" w:hAnsi="仿宋" w:eastAsia="仿宋" w:cs="仿宋"/>
          <w:b/>
          <w:color w:val="000000" w:themeColor="text1"/>
          <w:sz w:val="30"/>
          <w:szCs w:val="30"/>
          <w:highlight w:val="none"/>
        </w:rPr>
      </w:pPr>
      <w:bookmarkStart w:id="214" w:name="_Toc17935"/>
      <w:bookmarkStart w:id="215" w:name="_Toc14829"/>
      <w:bookmarkStart w:id="216" w:name="_Toc16262"/>
      <w:bookmarkStart w:id="217" w:name="_Toc27"/>
      <w:bookmarkStart w:id="218" w:name="_Toc22572"/>
    </w:p>
    <w:p>
      <w:pPr>
        <w:spacing w:line="588" w:lineRule="exact"/>
        <w:jc w:val="center"/>
        <w:outlineLvl w:val="1"/>
        <w:rPr>
          <w:rFonts w:hint="eastAsia" w:ascii="仿宋" w:hAnsi="仿宋" w:eastAsia="仿宋" w:cs="仿宋"/>
          <w:b/>
          <w:color w:val="000000" w:themeColor="text1"/>
          <w:sz w:val="30"/>
          <w:szCs w:val="30"/>
          <w:highlight w:val="none"/>
        </w:rPr>
      </w:pPr>
      <w:bookmarkStart w:id="219" w:name="_Toc32167"/>
      <w:r>
        <w:rPr>
          <w:rFonts w:hint="eastAsia" w:ascii="仿宋" w:hAnsi="仿宋" w:eastAsia="仿宋" w:cs="仿宋"/>
          <w:b/>
          <w:color w:val="000000" w:themeColor="text1"/>
          <w:sz w:val="30"/>
          <w:szCs w:val="30"/>
          <w:highlight w:val="none"/>
        </w:rPr>
        <w:t>附件13  残疾人福利性单位声明函</w:t>
      </w:r>
      <w:bookmarkEnd w:id="214"/>
      <w:bookmarkEnd w:id="215"/>
      <w:bookmarkEnd w:id="216"/>
      <w:bookmarkEnd w:id="219"/>
    </w:p>
    <w:p>
      <w:pPr>
        <w:adjustRightInd w:val="0"/>
        <w:snapToGrid w:val="0"/>
        <w:spacing w:line="500" w:lineRule="exact"/>
        <w:rPr>
          <w:rFonts w:hint="eastAsia" w:ascii="仿宋" w:hAnsi="仿宋" w:eastAsia="仿宋" w:cs="仿宋"/>
          <w:color w:val="000000" w:themeColor="text1"/>
          <w:sz w:val="24"/>
          <w:szCs w:val="24"/>
          <w:highlight w:val="none"/>
        </w:rPr>
      </w:pPr>
    </w:p>
    <w:p>
      <w:pPr>
        <w:adjustRightInd w:val="0"/>
        <w:snapToGrid w:val="0"/>
        <w:spacing w:line="50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50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本单位对上述声明的真实性负责。如有虚假，将依法承担相应责任。</w:t>
      </w: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adjustRightInd w:val="0"/>
        <w:snapToGrid w:val="0"/>
        <w:spacing w:line="500" w:lineRule="exact"/>
        <w:jc w:val="right"/>
        <w:rPr>
          <w:rFonts w:hint="eastAsia" w:ascii="仿宋" w:hAnsi="仿宋" w:eastAsia="仿宋" w:cs="仿宋"/>
          <w:b/>
          <w:color w:val="000000" w:themeColor="text1"/>
          <w:sz w:val="32"/>
          <w:szCs w:val="32"/>
          <w:highlight w:val="none"/>
        </w:rPr>
      </w:pPr>
      <w:r>
        <w:rPr>
          <w:rFonts w:hint="eastAsia" w:ascii="仿宋" w:hAnsi="仿宋" w:eastAsia="仿宋" w:cs="仿宋"/>
          <w:color w:val="000000" w:themeColor="text1"/>
          <w:sz w:val="24"/>
          <w:highlight w:val="none"/>
        </w:rPr>
        <w:t xml:space="preserve">                        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spacing w:line="440" w:lineRule="exact"/>
        <w:rPr>
          <w:rFonts w:hint="eastAsia" w:ascii="仿宋" w:hAnsi="仿宋" w:eastAsia="仿宋" w:cs="仿宋"/>
          <w:color w:val="000000" w:themeColor="text1"/>
          <w:szCs w:val="21"/>
          <w:highlight w:val="none"/>
        </w:rPr>
      </w:pPr>
    </w:p>
    <w:p>
      <w:pPr>
        <w:rPr>
          <w:rFonts w:hint="eastAsia" w:ascii="仿宋" w:hAnsi="仿宋" w:eastAsia="仿宋" w:cs="仿宋"/>
          <w:color w:val="000000" w:themeColor="text1"/>
          <w:highlight w:val="none"/>
        </w:rPr>
      </w:pPr>
    </w:p>
    <w:p>
      <w:pPr>
        <w:spacing w:line="600" w:lineRule="auto"/>
        <w:outlineLvl w:val="1"/>
        <w:rPr>
          <w:rFonts w:hint="eastAsia" w:ascii="仿宋" w:hAnsi="仿宋" w:eastAsia="仿宋" w:cs="仿宋"/>
          <w:b/>
          <w:color w:val="000000" w:themeColor="text1"/>
          <w:sz w:val="28"/>
          <w:szCs w:val="28"/>
          <w:highlight w:val="none"/>
        </w:rPr>
      </w:pPr>
    </w:p>
    <w:p>
      <w:pPr>
        <w:spacing w:line="360" w:lineRule="auto"/>
        <w:jc w:val="center"/>
        <w:outlineLvl w:val="1"/>
        <w:rPr>
          <w:rFonts w:hint="eastAsia" w:ascii="仿宋" w:hAnsi="仿宋" w:eastAsia="仿宋" w:cs="仿宋"/>
          <w:b/>
          <w:color w:val="000000" w:themeColor="text1"/>
          <w:sz w:val="30"/>
          <w:szCs w:val="30"/>
          <w:highlight w:val="none"/>
        </w:rPr>
      </w:pPr>
      <w:bookmarkStart w:id="220" w:name="_Toc15722"/>
      <w:bookmarkStart w:id="221" w:name="_Toc20018"/>
      <w:bookmarkStart w:id="222" w:name="_Toc4415"/>
      <w:bookmarkStart w:id="223" w:name="_Toc2640"/>
      <w:r>
        <w:rPr>
          <w:rFonts w:hint="eastAsia" w:ascii="仿宋" w:hAnsi="仿宋" w:eastAsia="仿宋" w:cs="仿宋"/>
          <w:b/>
          <w:color w:val="000000" w:themeColor="text1"/>
          <w:sz w:val="30"/>
          <w:szCs w:val="30"/>
          <w:highlight w:val="none"/>
        </w:rPr>
        <w:t>附件14  《拒绝政府采购领域商业贿赂承诺书》</w:t>
      </w:r>
      <w:bookmarkEnd w:id="217"/>
      <w:bookmarkEnd w:id="218"/>
      <w:bookmarkEnd w:id="220"/>
      <w:bookmarkEnd w:id="221"/>
      <w:bookmarkEnd w:id="222"/>
      <w:bookmarkEnd w:id="223"/>
    </w:p>
    <w:p>
      <w:pPr>
        <w:widowControl/>
        <w:spacing w:line="360" w:lineRule="auto"/>
        <w:jc w:val="center"/>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陕西省政府采购投标人拒绝政府采购领域商业贿赂承诺书</w:t>
      </w:r>
    </w:p>
    <w:p>
      <w:pPr>
        <w:widowControl/>
        <w:spacing w:line="50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为响应党中央、国务院关于治理政府采购领域商业贿赂行为的号召，我单位在此庄严承诺： </w:t>
      </w:r>
    </w:p>
    <w:p>
      <w:pPr>
        <w:widowControl/>
        <w:numPr>
          <w:ilvl w:val="0"/>
          <w:numId w:val="22"/>
        </w:numPr>
        <w:spacing w:line="50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在参与政府采购活动中遵纪守法、诚信经营、公平竞标。 </w:t>
      </w:r>
    </w:p>
    <w:p>
      <w:pPr>
        <w:widowControl/>
        <w:numPr>
          <w:ilvl w:val="0"/>
          <w:numId w:val="22"/>
        </w:numPr>
        <w:spacing w:line="50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不向采购人、采购代理机构和政府采购评审专家进行任何形式的商业贿赂以谋取交易机会。 </w:t>
      </w:r>
    </w:p>
    <w:p>
      <w:pPr>
        <w:widowControl/>
        <w:spacing w:line="50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3、不向政府采购代理机构和采购人提供虚假资质文件或采用虚假应标方式参与政府采购市场竞争并谋取中标、成交。</w:t>
      </w:r>
    </w:p>
    <w:p>
      <w:pPr>
        <w:widowControl/>
        <w:spacing w:line="500" w:lineRule="exact"/>
        <w:ind w:left="105" w:leftChars="50" w:firstLine="420" w:firstLineChars="175"/>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4、不采取“围标、陪标”等商业欺诈手段获得政府采购定单。 </w:t>
      </w:r>
    </w:p>
    <w:p>
      <w:pPr>
        <w:widowControl/>
        <w:spacing w:line="500" w:lineRule="exact"/>
        <w:ind w:left="105" w:leftChars="50" w:firstLine="420" w:firstLineChars="175"/>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5、不采取不正当手段抵毁、排挤其他投标人。 </w:t>
      </w:r>
    </w:p>
    <w:p>
      <w:pPr>
        <w:widowControl/>
        <w:spacing w:line="500" w:lineRule="exact"/>
        <w:ind w:left="105" w:leftChars="50" w:firstLine="420" w:firstLineChars="175"/>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6、不在提供商品和服务时“偷梁换柱、以次充好”损害采购人的合法权益。</w:t>
      </w:r>
    </w:p>
    <w:p>
      <w:pPr>
        <w:widowControl/>
        <w:spacing w:line="500" w:lineRule="exact"/>
        <w:ind w:left="105" w:leftChars="50" w:firstLine="420" w:firstLineChars="175"/>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7、不与采购人、采购代理机构政府采购评审专家或其它投标人恶意串通，进行质疑和投诉，维护政府采购市场秩序。 </w:t>
      </w:r>
    </w:p>
    <w:p>
      <w:pPr>
        <w:widowControl/>
        <w:spacing w:line="50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8、尊重和接受政府采购监督管理部门的监督和政府采购代理机构招标要求，承担因违约行为给采购人造成的损失。 </w:t>
      </w:r>
    </w:p>
    <w:p>
      <w:pPr>
        <w:widowControl/>
        <w:spacing w:line="500" w:lineRule="exact"/>
        <w:ind w:firstLine="480" w:firstLineChars="2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 xml:space="preserve">9、不发生其他有悖于政府采购公开、公平、公正和诚信原则的行为。 </w:t>
      </w:r>
      <w:r>
        <w:rPr>
          <w:rFonts w:hint="eastAsia" w:ascii="仿宋" w:hAnsi="仿宋" w:eastAsia="仿宋" w:cs="仿宋"/>
          <w:color w:val="000000" w:themeColor="text1"/>
          <w:sz w:val="24"/>
          <w:szCs w:val="24"/>
          <w:highlight w:val="none"/>
        </w:rPr>
        <w:br w:type="textWrapping"/>
      </w:r>
      <w:r>
        <w:rPr>
          <w:rFonts w:hint="eastAsia" w:ascii="仿宋" w:hAnsi="仿宋" w:eastAsia="仿宋" w:cs="仿宋"/>
          <w:color w:val="000000" w:themeColor="text1"/>
          <w:sz w:val="24"/>
          <w:szCs w:val="24"/>
          <w:highlight w:val="none"/>
        </w:rPr>
        <w:t xml:space="preserve">   </w:t>
      </w:r>
    </w:p>
    <w:p>
      <w:pPr>
        <w:wordWrap w:val="0"/>
        <w:ind w:right="840"/>
        <w:rPr>
          <w:rFonts w:hint="eastAsia" w:ascii="仿宋" w:hAnsi="仿宋" w:eastAsia="仿宋" w:cs="仿宋"/>
          <w:color w:val="000000" w:themeColor="text1"/>
          <w:sz w:val="24"/>
          <w:highlight w:val="none"/>
          <w:u w:val="single"/>
        </w:rPr>
      </w:pPr>
    </w:p>
    <w:p>
      <w:pPr>
        <w:wordWrap w:val="0"/>
        <w:ind w:right="840"/>
        <w:rPr>
          <w:rFonts w:hint="eastAsia" w:ascii="仿宋" w:hAnsi="仿宋" w:eastAsia="仿宋" w:cs="仿宋"/>
          <w:color w:val="000000" w:themeColor="text1"/>
          <w:sz w:val="24"/>
          <w:highlight w:val="none"/>
          <w:u w:val="single"/>
        </w:rPr>
      </w:pP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highlight w:val="none"/>
        </w:rPr>
        <w:t>（公章）</w:t>
      </w:r>
    </w:p>
    <w:p>
      <w:pPr>
        <w:spacing w:line="5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spacing w:line="500" w:lineRule="exact"/>
        <w:ind w:firstLine="4080" w:firstLineChars="17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      期：</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b/>
          <w:color w:val="000000" w:themeColor="text1"/>
          <w:sz w:val="28"/>
          <w:highlight w:val="none"/>
          <w:u w:val="single"/>
        </w:rPr>
        <w:t xml:space="preserve">   </w:t>
      </w:r>
      <w:r>
        <w:rPr>
          <w:rFonts w:hint="eastAsia" w:ascii="仿宋" w:hAnsi="仿宋" w:eastAsia="仿宋" w:cs="仿宋"/>
          <w:color w:val="000000" w:themeColor="text1"/>
          <w:sz w:val="24"/>
          <w:highlight w:val="none"/>
        </w:rPr>
        <w:t>日</w:t>
      </w:r>
    </w:p>
    <w:p>
      <w:pPr>
        <w:pStyle w:val="6"/>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sz w:val="24"/>
          <w:highlight w:val="none"/>
        </w:rPr>
      </w:pPr>
    </w:p>
    <w:p>
      <w:pPr>
        <w:pStyle w:val="6"/>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sz w:val="24"/>
          <w:highlight w:val="none"/>
        </w:rPr>
      </w:pPr>
    </w:p>
    <w:p>
      <w:pPr>
        <w:pStyle w:val="6"/>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sz w:val="24"/>
          <w:highlight w:val="none"/>
        </w:rPr>
      </w:pPr>
    </w:p>
    <w:p>
      <w:pPr>
        <w:pStyle w:val="6"/>
        <w:rPr>
          <w:rFonts w:hint="eastAsia" w:ascii="仿宋" w:hAnsi="仿宋" w:eastAsia="仿宋" w:cs="仿宋"/>
          <w:color w:val="000000" w:themeColor="text1"/>
          <w:sz w:val="24"/>
          <w:highlight w:val="none"/>
        </w:rPr>
      </w:pPr>
    </w:p>
    <w:p>
      <w:pPr>
        <w:rPr>
          <w:rFonts w:hint="eastAsia" w:ascii="仿宋" w:hAnsi="仿宋" w:eastAsia="仿宋" w:cs="仿宋"/>
          <w:color w:val="000000" w:themeColor="text1"/>
          <w:sz w:val="24"/>
          <w:highlight w:val="none"/>
        </w:rPr>
      </w:pPr>
    </w:p>
    <w:p>
      <w:pPr>
        <w:spacing w:line="420" w:lineRule="exact"/>
        <w:jc w:val="center"/>
        <w:outlineLvl w:val="1"/>
        <w:rPr>
          <w:rFonts w:hint="eastAsia" w:ascii="仿宋" w:hAnsi="仿宋" w:eastAsia="仿宋" w:cs="仿宋"/>
          <w:bCs/>
          <w:color w:val="000000" w:themeColor="text1"/>
          <w:sz w:val="30"/>
          <w:szCs w:val="30"/>
          <w:highlight w:val="none"/>
        </w:rPr>
      </w:pPr>
      <w:bookmarkStart w:id="224" w:name="_Toc870"/>
      <w:r>
        <w:rPr>
          <w:rFonts w:hint="eastAsia" w:ascii="仿宋" w:hAnsi="仿宋" w:eastAsia="仿宋" w:cs="仿宋"/>
          <w:b/>
          <w:color w:val="000000" w:themeColor="text1"/>
          <w:sz w:val="30"/>
          <w:szCs w:val="30"/>
          <w:highlight w:val="none"/>
        </w:rPr>
        <w:t>附件15  二次报价表</w:t>
      </w:r>
      <w:bookmarkEnd w:id="224"/>
    </w:p>
    <w:p>
      <w:pPr>
        <w:pStyle w:val="6"/>
        <w:jc w:val="center"/>
        <w:rPr>
          <w:rFonts w:hint="eastAsia" w:ascii="仿宋" w:hAnsi="仿宋" w:eastAsia="仿宋" w:cs="仿宋"/>
          <w:bCs/>
          <w:color w:val="000000" w:themeColor="text1"/>
          <w:kern w:val="2"/>
          <w:highlight w:val="none"/>
        </w:rPr>
      </w:pPr>
    </w:p>
    <w:p>
      <w:pPr>
        <w:pStyle w:val="6"/>
        <w:jc w:val="center"/>
        <w:rPr>
          <w:rFonts w:hint="eastAsia" w:ascii="仿宋" w:hAnsi="仿宋" w:eastAsia="仿宋" w:cs="仿宋"/>
          <w:color w:val="000000" w:themeColor="text1"/>
          <w:sz w:val="24"/>
          <w:highlight w:val="none"/>
        </w:rPr>
      </w:pPr>
      <w:r>
        <w:rPr>
          <w:rFonts w:hint="eastAsia" w:ascii="仿宋" w:hAnsi="仿宋" w:eastAsia="仿宋" w:cs="仿宋"/>
          <w:bCs/>
          <w:color w:val="000000" w:themeColor="text1"/>
          <w:kern w:val="2"/>
          <w:highlight w:val="none"/>
        </w:rPr>
        <w:t>二次报价表（范本）</w:t>
      </w:r>
    </w:p>
    <w:p>
      <w:pPr>
        <w:rPr>
          <w:rFonts w:hint="eastAsia" w:ascii="仿宋" w:hAnsi="仿宋" w:eastAsia="仿宋" w:cs="仿宋"/>
          <w:color w:val="000000" w:themeColor="text1"/>
          <w:sz w:val="24"/>
          <w:highlight w:val="none"/>
        </w:rPr>
      </w:pPr>
    </w:p>
    <w:tbl>
      <w:tblPr>
        <w:tblStyle w:val="47"/>
        <w:tblW w:w="9074"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698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2093" w:type="dxa"/>
            <w:tcBorders>
              <w:bottom w:val="single" w:color="auto" w:sz="4" w:space="0"/>
            </w:tcBorders>
            <w:vAlign w:val="center"/>
          </w:tcPr>
          <w:p>
            <w:pPr>
              <w:spacing w:line="360" w:lineRule="auto"/>
              <w:jc w:val="center"/>
              <w:rPr>
                <w:rFonts w:hint="eastAsia" w:ascii="仿宋" w:hAnsi="仿宋" w:eastAsia="仿宋" w:cs="仿宋"/>
                <w:caps/>
                <w:color w:val="000000" w:themeColor="text1"/>
                <w:sz w:val="24"/>
                <w:szCs w:val="22"/>
                <w:highlight w:val="none"/>
              </w:rPr>
            </w:pPr>
            <w:r>
              <w:rPr>
                <w:rFonts w:hint="eastAsia" w:ascii="仿宋" w:hAnsi="仿宋" w:eastAsia="仿宋" w:cs="仿宋"/>
                <w:color w:val="000000" w:themeColor="text1"/>
                <w:sz w:val="24"/>
                <w:szCs w:val="22"/>
                <w:highlight w:val="none"/>
              </w:rPr>
              <w:t>项目名称</w:t>
            </w:r>
          </w:p>
        </w:tc>
        <w:tc>
          <w:tcPr>
            <w:tcW w:w="6981" w:type="dxa"/>
            <w:vAlign w:val="center"/>
          </w:tcPr>
          <w:p>
            <w:pPr>
              <w:spacing w:line="360" w:lineRule="auto"/>
              <w:jc w:val="center"/>
              <w:rPr>
                <w:rFonts w:hint="eastAsia" w:ascii="仿宋" w:hAnsi="仿宋" w:eastAsia="仿宋" w:cs="仿宋"/>
                <w:caps/>
                <w:color w:val="000000" w:themeColor="text1"/>
                <w:sz w:val="24"/>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2093" w:type="dxa"/>
            <w:tcBorders>
              <w:bottom w:val="single" w:color="auto" w:sz="4" w:space="0"/>
            </w:tcBorders>
            <w:vAlign w:val="center"/>
          </w:tcPr>
          <w:p>
            <w:pPr>
              <w:spacing w:line="360" w:lineRule="auto"/>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采购项目编号</w:t>
            </w:r>
          </w:p>
        </w:tc>
        <w:tc>
          <w:tcPr>
            <w:tcW w:w="6981" w:type="dxa"/>
            <w:tcBorders>
              <w:bottom w:val="single" w:color="auto" w:sz="4" w:space="0"/>
            </w:tcBorders>
            <w:vAlign w:val="center"/>
          </w:tcPr>
          <w:p>
            <w:pPr>
              <w:spacing w:line="360" w:lineRule="auto"/>
              <w:jc w:val="center"/>
              <w:rPr>
                <w:rFonts w:hint="eastAsia" w:ascii="仿宋" w:hAnsi="仿宋" w:eastAsia="仿宋" w:cs="仿宋"/>
                <w:caps/>
                <w:color w:val="000000" w:themeColor="text1"/>
                <w:sz w:val="24"/>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08" w:hRule="atLeast"/>
          <w:jc w:val="center"/>
        </w:trPr>
        <w:tc>
          <w:tcPr>
            <w:tcW w:w="2093" w:type="dxa"/>
            <w:vAlign w:val="center"/>
          </w:tcPr>
          <w:p>
            <w:pPr>
              <w:spacing w:line="360" w:lineRule="auto"/>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二次报价</w:t>
            </w:r>
          </w:p>
          <w:p>
            <w:pPr>
              <w:spacing w:line="360" w:lineRule="auto"/>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（总价）</w:t>
            </w:r>
          </w:p>
        </w:tc>
        <w:tc>
          <w:tcPr>
            <w:tcW w:w="6981" w:type="dxa"/>
            <w:vAlign w:val="center"/>
          </w:tcPr>
          <w:p>
            <w:pPr>
              <w:spacing w:line="360" w:lineRule="exact"/>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小写金额：￥_________________</w:t>
            </w:r>
            <w:r>
              <w:rPr>
                <w:rFonts w:hint="eastAsia" w:ascii="仿宋" w:hAnsi="仿宋" w:eastAsia="仿宋" w:cs="仿宋"/>
                <w:color w:val="000000" w:themeColor="text1"/>
                <w:sz w:val="24"/>
                <w:szCs w:val="22"/>
                <w:highlight w:val="none"/>
                <w:u w:val="single"/>
              </w:rPr>
              <w:t xml:space="preserve">                </w:t>
            </w:r>
          </w:p>
          <w:p>
            <w:pPr>
              <w:spacing w:line="360" w:lineRule="exact"/>
              <w:rPr>
                <w:rFonts w:hint="eastAsia" w:ascii="仿宋" w:hAnsi="仿宋" w:eastAsia="仿宋" w:cs="仿宋"/>
                <w:color w:val="000000" w:themeColor="text1"/>
                <w:sz w:val="24"/>
                <w:szCs w:val="22"/>
                <w:highlight w:val="none"/>
                <w:u w:val="single"/>
              </w:rPr>
            </w:pPr>
            <w:r>
              <w:rPr>
                <w:rFonts w:hint="eastAsia" w:ascii="仿宋" w:hAnsi="仿宋" w:eastAsia="仿宋" w:cs="仿宋"/>
                <w:color w:val="000000" w:themeColor="text1"/>
                <w:sz w:val="24"/>
                <w:szCs w:val="22"/>
                <w:highlight w:val="none"/>
              </w:rPr>
              <w:t>大写金额（人民币）：_________</w:t>
            </w:r>
            <w:r>
              <w:rPr>
                <w:rFonts w:hint="eastAsia" w:ascii="仿宋" w:hAnsi="仿宋" w:eastAsia="仿宋" w:cs="仿宋"/>
                <w:color w:val="000000" w:themeColor="text1"/>
                <w:sz w:val="24"/>
                <w:szCs w:val="22"/>
                <w:highlight w:val="none"/>
                <w:u w:val="single"/>
              </w:rPr>
              <w:t xml:space="preserve">   </w:t>
            </w:r>
          </w:p>
          <w:p>
            <w:pPr>
              <w:spacing w:line="360" w:lineRule="exact"/>
              <w:rPr>
                <w:rFonts w:hint="eastAsia" w:ascii="仿宋" w:hAnsi="仿宋" w:eastAsia="仿宋" w:cs="仿宋"/>
                <w:color w:val="000000" w:themeColor="text1"/>
                <w:sz w:val="24"/>
                <w:szCs w:val="24"/>
                <w:highlight w:val="none"/>
                <w:u w:val="single"/>
              </w:rPr>
            </w:pPr>
            <w:r>
              <w:rPr>
                <w:rFonts w:hint="eastAsia" w:ascii="仿宋" w:hAnsi="仿宋" w:eastAsia="仿宋" w:cs="仿宋"/>
                <w:color w:val="000000" w:themeColor="text1"/>
                <w:sz w:val="24"/>
                <w:szCs w:val="22"/>
                <w:highlight w:val="none"/>
              </w:rPr>
              <w:t xml:space="preserve">优惠下浮比例：______________% </w:t>
            </w:r>
            <w:r>
              <w:rPr>
                <w:rFonts w:hint="eastAsia" w:ascii="仿宋" w:hAnsi="仿宋" w:eastAsia="仿宋" w:cs="仿宋"/>
                <w:color w:val="000000" w:themeColor="text1"/>
                <w:sz w:val="24"/>
                <w:szCs w:val="22"/>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2093" w:type="dxa"/>
            <w:vAlign w:val="center"/>
          </w:tcPr>
          <w:p>
            <w:pPr>
              <w:spacing w:line="360" w:lineRule="auto"/>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交货期</w:t>
            </w:r>
          </w:p>
        </w:tc>
        <w:tc>
          <w:tcPr>
            <w:tcW w:w="6981" w:type="dxa"/>
            <w:vAlign w:val="center"/>
          </w:tcPr>
          <w:p>
            <w:pPr>
              <w:spacing w:line="360" w:lineRule="auto"/>
              <w:rPr>
                <w:rFonts w:hint="eastAsia" w:ascii="仿宋" w:hAnsi="仿宋" w:eastAsia="仿宋" w:cs="仿宋"/>
                <w:color w:val="000000" w:themeColor="text1"/>
                <w:sz w:val="24"/>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2093" w:type="dxa"/>
            <w:vAlign w:val="center"/>
          </w:tcPr>
          <w:p>
            <w:pPr>
              <w:spacing w:line="360" w:lineRule="auto"/>
              <w:jc w:val="center"/>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质保期</w:t>
            </w:r>
          </w:p>
        </w:tc>
        <w:tc>
          <w:tcPr>
            <w:tcW w:w="6981" w:type="dxa"/>
            <w:vAlign w:val="center"/>
          </w:tcPr>
          <w:p>
            <w:pPr>
              <w:spacing w:line="360" w:lineRule="auto"/>
              <w:rPr>
                <w:rFonts w:hint="eastAsia" w:ascii="仿宋" w:hAnsi="仿宋" w:eastAsia="仿宋" w:cs="仿宋"/>
                <w:color w:val="000000" w:themeColor="text1"/>
                <w:sz w:val="24"/>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9074" w:type="dxa"/>
            <w:gridSpan w:val="2"/>
            <w:vAlign w:val="center"/>
          </w:tcPr>
          <w:p>
            <w:pPr>
              <w:spacing w:line="360" w:lineRule="auto"/>
              <w:rPr>
                <w:rFonts w:hint="eastAsia" w:ascii="仿宋" w:hAnsi="仿宋" w:eastAsia="仿宋" w:cs="仿宋"/>
                <w:color w:val="000000" w:themeColor="text1"/>
                <w:sz w:val="24"/>
                <w:szCs w:val="22"/>
                <w:highlight w:val="none"/>
              </w:rPr>
            </w:pPr>
            <w:r>
              <w:rPr>
                <w:rFonts w:hint="eastAsia" w:ascii="仿宋" w:hAnsi="仿宋" w:eastAsia="仿宋" w:cs="仿宋"/>
                <w:color w:val="000000" w:themeColor="text1"/>
                <w:sz w:val="24"/>
                <w:szCs w:val="22"/>
                <w:highlight w:val="none"/>
              </w:rPr>
              <w:t>备注：表内报价内容以元为单位，保留到小数点后两位。</w:t>
            </w:r>
          </w:p>
        </w:tc>
      </w:tr>
    </w:tbl>
    <w:p>
      <w:pPr>
        <w:spacing w:line="360" w:lineRule="exact"/>
        <w:rPr>
          <w:rFonts w:hint="eastAsia" w:ascii="仿宋" w:hAnsi="仿宋" w:eastAsia="仿宋" w:cs="仿宋"/>
          <w:color w:val="000000" w:themeColor="text1"/>
          <w:sz w:val="22"/>
          <w:szCs w:val="22"/>
          <w:highlight w:val="none"/>
        </w:rPr>
      </w:pPr>
      <w:r>
        <w:rPr>
          <w:rFonts w:hint="eastAsia" w:ascii="仿宋" w:hAnsi="仿宋" w:eastAsia="仿宋" w:cs="仿宋"/>
          <w:color w:val="000000" w:themeColor="text1"/>
          <w:sz w:val="22"/>
          <w:szCs w:val="22"/>
          <w:highlight w:val="none"/>
        </w:rPr>
        <w:t xml:space="preserve"> 备注：1.本表格可不在投标文件中装订，在开标现场按此表格格式填报二次报价；</w:t>
      </w:r>
    </w:p>
    <w:p>
      <w:pPr>
        <w:spacing w:line="360" w:lineRule="exact"/>
        <w:ind w:firstLine="770" w:firstLineChars="350"/>
        <w:rPr>
          <w:rFonts w:hint="eastAsia" w:ascii="仿宋" w:hAnsi="仿宋" w:eastAsia="仿宋" w:cs="仿宋"/>
          <w:color w:val="000000" w:themeColor="text1"/>
          <w:sz w:val="22"/>
          <w:szCs w:val="22"/>
          <w:highlight w:val="none"/>
        </w:rPr>
      </w:pPr>
      <w:r>
        <w:rPr>
          <w:rFonts w:hint="eastAsia" w:ascii="仿宋" w:hAnsi="仿宋" w:eastAsia="仿宋" w:cs="仿宋"/>
          <w:color w:val="000000" w:themeColor="text1"/>
          <w:sz w:val="22"/>
          <w:szCs w:val="22"/>
          <w:highlight w:val="none"/>
        </w:rPr>
        <w:t>2.投标供应商按照要求提交二次报价，二次报价为最终报价；</w:t>
      </w:r>
    </w:p>
    <w:p>
      <w:pPr>
        <w:spacing w:line="360" w:lineRule="exact"/>
        <w:rPr>
          <w:rFonts w:hint="eastAsia" w:ascii="仿宋" w:hAnsi="仿宋" w:eastAsia="仿宋" w:cs="仿宋"/>
          <w:color w:val="000000" w:themeColor="text1"/>
          <w:sz w:val="22"/>
          <w:szCs w:val="22"/>
          <w:highlight w:val="none"/>
        </w:rPr>
      </w:pPr>
      <w:r>
        <w:rPr>
          <w:rFonts w:hint="eastAsia" w:ascii="仿宋" w:hAnsi="仿宋" w:eastAsia="仿宋" w:cs="仿宋"/>
          <w:color w:val="000000" w:themeColor="text1"/>
          <w:sz w:val="22"/>
          <w:szCs w:val="22"/>
          <w:highlight w:val="none"/>
        </w:rPr>
        <w:t xml:space="preserve">       3.二次报价的优惠下浮比例为一次总报价与二次总报价之差与一次总报价之比。</w:t>
      </w:r>
    </w:p>
    <w:p>
      <w:pPr>
        <w:pStyle w:val="6"/>
        <w:rPr>
          <w:rFonts w:hint="eastAsia" w:ascii="仿宋" w:hAnsi="仿宋" w:eastAsia="仿宋" w:cs="仿宋"/>
          <w:color w:val="000000" w:themeColor="text1"/>
          <w:highlight w:val="none"/>
        </w:rPr>
      </w:pPr>
    </w:p>
    <w:p>
      <w:pPr>
        <w:rPr>
          <w:rFonts w:hint="eastAsia" w:ascii="仿宋" w:hAnsi="仿宋" w:eastAsia="仿宋" w:cs="仿宋"/>
          <w:color w:val="000000" w:themeColor="text1"/>
          <w:highlight w:val="none"/>
        </w:rPr>
      </w:pPr>
    </w:p>
    <w:p>
      <w:pPr>
        <w:spacing w:line="6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供应商名称：_______________________________</w:t>
      </w:r>
    </w:p>
    <w:p>
      <w:pPr>
        <w:spacing w:line="600" w:lineRule="exact"/>
        <w:ind w:right="-159" w:firstLine="2640" w:firstLineChars="1100"/>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szCs w:val="24"/>
          <w:highlight w:val="none"/>
        </w:rPr>
        <w:t>法定代表人或授权代表：</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（盖章/签字）</w:t>
      </w:r>
    </w:p>
    <w:p>
      <w:pPr>
        <w:pStyle w:val="6"/>
        <w:spacing w:line="600" w:lineRule="exact"/>
        <w:ind w:firstLine="4080" w:firstLineChars="1700"/>
        <w:rPr>
          <w:rFonts w:hint="eastAsia" w:ascii="仿宋" w:hAnsi="仿宋" w:eastAsia="仿宋" w:cs="仿宋"/>
          <w:b w:val="0"/>
          <w:color w:val="000000" w:themeColor="text1"/>
          <w:highlight w:val="none"/>
        </w:rPr>
      </w:pPr>
      <w:r>
        <w:rPr>
          <w:rFonts w:hint="eastAsia" w:ascii="仿宋" w:hAnsi="仿宋" w:eastAsia="仿宋" w:cs="仿宋"/>
          <w:b w:val="0"/>
          <w:color w:val="000000" w:themeColor="text1"/>
          <w:sz w:val="24"/>
          <w:highlight w:val="none"/>
        </w:rPr>
        <w:t>日      期：</w:t>
      </w:r>
      <w:r>
        <w:rPr>
          <w:rFonts w:hint="eastAsia" w:ascii="仿宋" w:hAnsi="仿宋" w:eastAsia="仿宋" w:cs="仿宋"/>
          <w:b w:val="0"/>
          <w:color w:val="000000" w:themeColor="text1"/>
          <w:sz w:val="24"/>
          <w:highlight w:val="none"/>
          <w:u w:val="single"/>
        </w:rPr>
        <w:t xml:space="preserve">      </w:t>
      </w:r>
      <w:r>
        <w:rPr>
          <w:rFonts w:hint="eastAsia" w:ascii="仿宋" w:hAnsi="仿宋" w:eastAsia="仿宋" w:cs="仿宋"/>
          <w:b w:val="0"/>
          <w:color w:val="000000" w:themeColor="text1"/>
          <w:sz w:val="24"/>
          <w:highlight w:val="none"/>
        </w:rPr>
        <w:t>年</w:t>
      </w:r>
      <w:r>
        <w:rPr>
          <w:rFonts w:hint="eastAsia" w:ascii="仿宋" w:hAnsi="仿宋" w:eastAsia="仿宋" w:cs="仿宋"/>
          <w:b w:val="0"/>
          <w:color w:val="000000" w:themeColor="text1"/>
          <w:highlight w:val="none"/>
          <w:u w:val="single"/>
        </w:rPr>
        <w:t xml:space="preserve">   </w:t>
      </w:r>
      <w:r>
        <w:rPr>
          <w:rFonts w:hint="eastAsia" w:ascii="仿宋" w:hAnsi="仿宋" w:eastAsia="仿宋" w:cs="仿宋"/>
          <w:b w:val="0"/>
          <w:color w:val="000000" w:themeColor="text1"/>
          <w:sz w:val="24"/>
          <w:highlight w:val="none"/>
        </w:rPr>
        <w:t>月</w:t>
      </w:r>
      <w:r>
        <w:rPr>
          <w:rFonts w:hint="eastAsia" w:ascii="仿宋" w:hAnsi="仿宋" w:eastAsia="仿宋" w:cs="仿宋"/>
          <w:b w:val="0"/>
          <w:color w:val="000000" w:themeColor="text1"/>
          <w:highlight w:val="none"/>
          <w:u w:val="single"/>
        </w:rPr>
        <w:t xml:space="preserve">   </w:t>
      </w:r>
      <w:r>
        <w:rPr>
          <w:rFonts w:hint="eastAsia" w:ascii="仿宋" w:hAnsi="仿宋" w:eastAsia="仿宋" w:cs="仿宋"/>
          <w:b w:val="0"/>
          <w:color w:val="000000" w:themeColor="text1"/>
          <w:sz w:val="24"/>
          <w:highlight w:val="none"/>
        </w:rPr>
        <w:t>日</w:t>
      </w:r>
    </w:p>
    <w:sectPr>
      <w:pgSz w:w="11906" w:h="16838"/>
      <w:pgMar w:top="1440" w:right="1276" w:bottom="1219" w:left="1559" w:header="720" w:footer="720" w:gutter="0"/>
      <w:pgBorders>
        <w:top w:val="none" w:sz="0" w:space="0"/>
        <w:left w:val="none" w:sz="0" w:space="0"/>
        <w:bottom w:val="none" w:sz="0" w:space="0"/>
        <w:right w:val="none" w:sz="0" w:space="0"/>
      </w:pgBorders>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Helvetica-Black">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entury Gothic">
    <w:altName w:val="Segoe Print"/>
    <w:panose1 w:val="00000000000000000000"/>
    <w:charset w:val="00"/>
    <w:family w:val="swiss"/>
    <w:pitch w:val="default"/>
    <w:sig w:usb0="00000000" w:usb1="00000000" w:usb2="00000000" w:usb3="00000000" w:csb0="2000009F" w:csb1="DFD70000"/>
  </w:font>
  <w:font w:name="汉仪楷体简">
    <w:altName w:val="宋体"/>
    <w:panose1 w:val="00000000000000000000"/>
    <w:charset w:val="86"/>
    <w:family w:val="modern"/>
    <w:pitch w:val="default"/>
    <w:sig w:usb0="00000000" w:usb1="00000000" w:usb2="00000012" w:usb3="00000000" w:csb0="00040000" w:csb1="00000000"/>
  </w:font>
  <w:font w:name="Frutiger 55 Roman">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汉仪魏碑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E02DE"/>
    <w:multiLevelType w:val="singleLevel"/>
    <w:tmpl w:val="9AEE02DE"/>
    <w:lvl w:ilvl="0" w:tentative="0">
      <w:start w:val="1"/>
      <w:numFmt w:val="decimal"/>
      <w:suff w:val="nothing"/>
      <w:lvlText w:val="（%1）"/>
      <w:lvlJc w:val="left"/>
    </w:lvl>
  </w:abstractNum>
  <w:abstractNum w:abstractNumId="1">
    <w:nsid w:val="A2FC6FD6"/>
    <w:multiLevelType w:val="singleLevel"/>
    <w:tmpl w:val="A2FC6FD6"/>
    <w:lvl w:ilvl="0" w:tentative="0">
      <w:start w:val="1"/>
      <w:numFmt w:val="decimal"/>
      <w:suff w:val="nothing"/>
      <w:lvlText w:val="%1、"/>
      <w:lvlJc w:val="left"/>
    </w:lvl>
  </w:abstractNum>
  <w:abstractNum w:abstractNumId="2">
    <w:nsid w:val="C7C1C001"/>
    <w:multiLevelType w:val="singleLevel"/>
    <w:tmpl w:val="C7C1C001"/>
    <w:lvl w:ilvl="0" w:tentative="0">
      <w:start w:val="1"/>
      <w:numFmt w:val="chineseCounting"/>
      <w:suff w:val="space"/>
      <w:lvlText w:val="第%1部分"/>
      <w:lvlJc w:val="left"/>
      <w:rPr>
        <w:rFonts w:hint="eastAsia"/>
      </w:rPr>
    </w:lvl>
  </w:abstractNum>
  <w:abstractNum w:abstractNumId="3">
    <w:nsid w:val="E62ADF73"/>
    <w:multiLevelType w:val="multilevel"/>
    <w:tmpl w:val="E62ADF73"/>
    <w:lvl w:ilvl="0" w:tentative="0">
      <w:start w:val="1"/>
      <w:numFmt w:val="decimal"/>
      <w:suff w:val="nothing"/>
      <w:lvlText w:val="（%1）"/>
      <w:lvlJc w:val="left"/>
      <w:pPr>
        <w:ind w:left="0" w:firstLine="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ED05FB10"/>
    <w:multiLevelType w:val="singleLevel"/>
    <w:tmpl w:val="ED05FB10"/>
    <w:lvl w:ilvl="0" w:tentative="0">
      <w:start w:val="1"/>
      <w:numFmt w:val="decimal"/>
      <w:suff w:val="nothing"/>
      <w:lvlText w:val="%1、"/>
      <w:lvlJc w:val="left"/>
    </w:lvl>
  </w:abstractNum>
  <w:abstractNum w:abstractNumId="5">
    <w:nsid w:val="EED90A5C"/>
    <w:multiLevelType w:val="singleLevel"/>
    <w:tmpl w:val="EED90A5C"/>
    <w:lvl w:ilvl="0" w:tentative="0">
      <w:start w:val="1"/>
      <w:numFmt w:val="decimal"/>
      <w:suff w:val="nothing"/>
      <w:lvlText w:val="%1、"/>
      <w:lvlJc w:val="left"/>
    </w:lvl>
  </w:abstractNum>
  <w:abstractNum w:abstractNumId="6">
    <w:nsid w:val="00D17F89"/>
    <w:multiLevelType w:val="multilevel"/>
    <w:tmpl w:val="00D17F89"/>
    <w:lvl w:ilvl="0" w:tentative="0">
      <w:start w:val="1"/>
      <w:numFmt w:val="decimal"/>
      <w:lvlText w:val="%1."/>
      <w:lvlJc w:val="left"/>
      <w:rPr>
        <w:rFonts w:hint="eastAsia" w:cs="Times New Roman"/>
      </w:rPr>
    </w:lvl>
    <w:lvl w:ilvl="1" w:tentative="0">
      <w:start w:val="1"/>
      <w:numFmt w:val="lowerLetter"/>
      <w:lvlText w:val="%2)"/>
      <w:lvlJc w:val="left"/>
      <w:pPr>
        <w:tabs>
          <w:tab w:val="left" w:pos="1820"/>
        </w:tabs>
        <w:ind w:left="1820" w:hanging="420"/>
      </w:pPr>
      <w:rPr>
        <w:rFonts w:cs="Times New Roman"/>
      </w:rPr>
    </w:lvl>
    <w:lvl w:ilvl="2" w:tentative="0">
      <w:start w:val="1"/>
      <w:numFmt w:val="lowerRoman"/>
      <w:lvlText w:val="%3."/>
      <w:lvlJc w:val="right"/>
      <w:pPr>
        <w:tabs>
          <w:tab w:val="left" w:pos="2240"/>
        </w:tabs>
        <w:ind w:left="2240" w:hanging="420"/>
      </w:pPr>
      <w:rPr>
        <w:rFonts w:cs="Times New Roman"/>
      </w:rPr>
    </w:lvl>
    <w:lvl w:ilvl="3" w:tentative="0">
      <w:start w:val="1"/>
      <w:numFmt w:val="decimal"/>
      <w:lvlText w:val="%4."/>
      <w:lvlJc w:val="left"/>
      <w:pPr>
        <w:tabs>
          <w:tab w:val="left" w:pos="2660"/>
        </w:tabs>
        <w:ind w:left="2660" w:hanging="420"/>
      </w:pPr>
      <w:rPr>
        <w:rFonts w:cs="Times New Roman"/>
      </w:rPr>
    </w:lvl>
    <w:lvl w:ilvl="4" w:tentative="0">
      <w:start w:val="1"/>
      <w:numFmt w:val="lowerLetter"/>
      <w:lvlText w:val="%5)"/>
      <w:lvlJc w:val="left"/>
      <w:pPr>
        <w:tabs>
          <w:tab w:val="left" w:pos="3080"/>
        </w:tabs>
        <w:ind w:left="3080" w:hanging="420"/>
      </w:pPr>
      <w:rPr>
        <w:rFonts w:cs="Times New Roman"/>
      </w:rPr>
    </w:lvl>
    <w:lvl w:ilvl="5" w:tentative="0">
      <w:start w:val="1"/>
      <w:numFmt w:val="lowerRoman"/>
      <w:lvlText w:val="%6."/>
      <w:lvlJc w:val="right"/>
      <w:pPr>
        <w:tabs>
          <w:tab w:val="left" w:pos="3500"/>
        </w:tabs>
        <w:ind w:left="3500" w:hanging="420"/>
      </w:pPr>
      <w:rPr>
        <w:rFonts w:cs="Times New Roman"/>
      </w:rPr>
    </w:lvl>
    <w:lvl w:ilvl="6" w:tentative="0">
      <w:start w:val="1"/>
      <w:numFmt w:val="decimal"/>
      <w:lvlText w:val="%7."/>
      <w:lvlJc w:val="left"/>
      <w:pPr>
        <w:tabs>
          <w:tab w:val="left" w:pos="3920"/>
        </w:tabs>
        <w:ind w:left="3920" w:hanging="420"/>
      </w:pPr>
      <w:rPr>
        <w:rFonts w:cs="Times New Roman"/>
      </w:rPr>
    </w:lvl>
    <w:lvl w:ilvl="7" w:tentative="0">
      <w:start w:val="1"/>
      <w:numFmt w:val="lowerLetter"/>
      <w:lvlText w:val="%8)"/>
      <w:lvlJc w:val="left"/>
      <w:pPr>
        <w:tabs>
          <w:tab w:val="left" w:pos="4340"/>
        </w:tabs>
        <w:ind w:left="4340" w:hanging="420"/>
      </w:pPr>
      <w:rPr>
        <w:rFonts w:cs="Times New Roman"/>
      </w:rPr>
    </w:lvl>
    <w:lvl w:ilvl="8" w:tentative="0">
      <w:start w:val="1"/>
      <w:numFmt w:val="lowerRoman"/>
      <w:lvlText w:val="%9."/>
      <w:lvlJc w:val="right"/>
      <w:pPr>
        <w:tabs>
          <w:tab w:val="left" w:pos="4760"/>
        </w:tabs>
        <w:ind w:left="4760" w:hanging="420"/>
      </w:pPr>
      <w:rPr>
        <w:rFonts w:cs="Times New Roman"/>
      </w:rPr>
    </w:lvl>
  </w:abstractNum>
  <w:abstractNum w:abstractNumId="7">
    <w:nsid w:val="0FFE4791"/>
    <w:multiLevelType w:val="singleLevel"/>
    <w:tmpl w:val="0FFE4791"/>
    <w:lvl w:ilvl="0" w:tentative="0">
      <w:start w:val="1"/>
      <w:numFmt w:val="decimal"/>
      <w:pStyle w:val="71"/>
      <w:lvlText w:val="%1)"/>
      <w:lvlJc w:val="left"/>
      <w:pPr>
        <w:tabs>
          <w:tab w:val="left" w:pos="397"/>
        </w:tabs>
        <w:ind w:left="397" w:hanging="397"/>
      </w:pPr>
      <w:rPr>
        <w:rFonts w:hint="eastAsia"/>
      </w:rPr>
    </w:lvl>
  </w:abstractNum>
  <w:abstractNum w:abstractNumId="8">
    <w:nsid w:val="17653A62"/>
    <w:multiLevelType w:val="multilevel"/>
    <w:tmpl w:val="17653A62"/>
    <w:lvl w:ilvl="0" w:tentative="0">
      <w:start w:val="1"/>
      <w:numFmt w:val="decimal"/>
      <w:lvlText w:val="%1、"/>
      <w:lvlJc w:val="left"/>
      <w:pPr>
        <w:tabs>
          <w:tab w:val="left" w:pos="360"/>
        </w:tabs>
        <w:ind w:left="360" w:hanging="360"/>
      </w:pPr>
      <w:rPr>
        <w:rFonts w:hint="default"/>
      </w:rPr>
    </w:lvl>
    <w:lvl w:ilvl="1" w:tentative="0">
      <w:start w:val="1"/>
      <w:numFmt w:val="lowerLetter"/>
      <w:pStyle w:val="69"/>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D655FED"/>
    <w:multiLevelType w:val="multilevel"/>
    <w:tmpl w:val="1D655FED"/>
    <w:lvl w:ilvl="0" w:tentative="0">
      <w:start w:val="1"/>
      <w:numFmt w:val="decimal"/>
      <w:pStyle w:val="116"/>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181"/>
      <w:lvlText w:val="2.3.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0">
    <w:nsid w:val="2BE235D4"/>
    <w:multiLevelType w:val="multilevel"/>
    <w:tmpl w:val="2BE235D4"/>
    <w:lvl w:ilvl="0" w:tentative="0">
      <w:start w:val="1"/>
      <w:numFmt w:val="decimal"/>
      <w:pStyle w:val="12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4121AA6"/>
    <w:multiLevelType w:val="multilevel"/>
    <w:tmpl w:val="44121AA6"/>
    <w:lvl w:ilvl="0" w:tentative="0">
      <w:start w:val="1"/>
      <w:numFmt w:val="decimal"/>
      <w:pStyle w:val="20"/>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4368631"/>
    <w:multiLevelType w:val="singleLevel"/>
    <w:tmpl w:val="44368631"/>
    <w:lvl w:ilvl="0" w:tentative="0">
      <w:start w:val="1"/>
      <w:numFmt w:val="decimal"/>
      <w:suff w:val="nothing"/>
      <w:lvlText w:val="（%1）"/>
      <w:lvlJc w:val="left"/>
    </w:lvl>
  </w:abstractNum>
  <w:abstractNum w:abstractNumId="13">
    <w:nsid w:val="4D993502"/>
    <w:multiLevelType w:val="multilevel"/>
    <w:tmpl w:val="4D993502"/>
    <w:lvl w:ilvl="0" w:tentative="0">
      <w:start w:val="1"/>
      <w:numFmt w:val="decimal"/>
      <w:pStyle w:val="248"/>
      <w:lvlText w:val="%1"/>
      <w:lvlJc w:val="left"/>
      <w:pPr>
        <w:tabs>
          <w:tab w:val="left" w:pos="425"/>
        </w:tabs>
        <w:ind w:left="425" w:hanging="425"/>
      </w:pPr>
      <w:rPr>
        <w:rFonts w:hint="eastAsia"/>
      </w:rPr>
    </w:lvl>
    <w:lvl w:ilvl="1" w:tentative="0">
      <w:start w:val="1"/>
      <w:numFmt w:val="decimal"/>
      <w:pStyle w:val="175"/>
      <w:lvlText w:val="%1.%2"/>
      <w:lvlJc w:val="left"/>
      <w:pPr>
        <w:tabs>
          <w:tab w:val="left" w:pos="927"/>
        </w:tabs>
        <w:ind w:left="927"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17"/>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4">
    <w:nsid w:val="522F0B97"/>
    <w:multiLevelType w:val="multilevel"/>
    <w:tmpl w:val="522F0B97"/>
    <w:lvl w:ilvl="0" w:tentative="0">
      <w:start w:val="1"/>
      <w:numFmt w:val="decimal"/>
      <w:lvlText w:val="%1."/>
      <w:lvlJc w:val="left"/>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5">
    <w:nsid w:val="53F227CD"/>
    <w:multiLevelType w:val="multilevel"/>
    <w:tmpl w:val="53F227CD"/>
    <w:lvl w:ilvl="0" w:tentative="0">
      <w:start w:val="1"/>
      <w:numFmt w:val="japaneseCounting"/>
      <w:lvlText w:val="%1、"/>
      <w:lvlJc w:val="left"/>
      <w:pPr>
        <w:tabs>
          <w:tab w:val="left" w:pos="1280"/>
        </w:tabs>
        <w:ind w:left="1280" w:hanging="720"/>
      </w:pPr>
      <w:rPr>
        <w:rFonts w:hint="default" w:cs="Times New Roman"/>
      </w:rPr>
    </w:lvl>
    <w:lvl w:ilvl="1" w:tentative="0">
      <w:start w:val="1"/>
      <w:numFmt w:val="decimal"/>
      <w:lvlText w:val="%2、"/>
      <w:lvlJc w:val="left"/>
      <w:pPr>
        <w:tabs>
          <w:tab w:val="left" w:pos="980"/>
        </w:tabs>
        <w:ind w:left="980"/>
      </w:pPr>
      <w:rPr>
        <w:rFonts w:hint="eastAsia"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abstractNum w:abstractNumId="16">
    <w:nsid w:val="58DB60FA"/>
    <w:multiLevelType w:val="singleLevel"/>
    <w:tmpl w:val="58DB60FA"/>
    <w:lvl w:ilvl="0" w:tentative="0">
      <w:start w:val="2"/>
      <w:numFmt w:val="decimal"/>
      <w:suff w:val="nothing"/>
      <w:lvlText w:val="%1、"/>
      <w:lvlJc w:val="left"/>
    </w:lvl>
  </w:abstractNum>
  <w:abstractNum w:abstractNumId="17">
    <w:nsid w:val="65E13960"/>
    <w:multiLevelType w:val="multilevel"/>
    <w:tmpl w:val="65E13960"/>
    <w:lvl w:ilvl="0" w:tentative="0">
      <w:start w:val="1"/>
      <w:numFmt w:val="bullet"/>
      <w:pStyle w:val="183"/>
      <w:lvlText w:val=""/>
      <w:lvlJc w:val="left"/>
      <w:pPr>
        <w:tabs>
          <w:tab w:val="left" w:pos="870"/>
        </w:tabs>
        <w:ind w:left="870" w:hanging="510"/>
      </w:pPr>
      <w:rPr>
        <w:rFonts w:hint="default" w:ascii="Wingdings" w:hAnsi="Wingdings" w:cs="_x000B__x000C_"/>
        <w:color w:val="auto"/>
        <w:sz w:val="13"/>
        <w:szCs w:val="13"/>
        <w:u w:val="none"/>
      </w:rPr>
    </w:lvl>
    <w:lvl w:ilvl="1" w:tentative="0">
      <w:start w:val="1"/>
      <w:numFmt w:val="bullet"/>
      <w:lvlText w:val=""/>
      <w:lvlJc w:val="left"/>
      <w:pPr>
        <w:tabs>
          <w:tab w:val="left" w:pos="66"/>
        </w:tabs>
        <w:ind w:left="66" w:hanging="420"/>
      </w:pPr>
      <w:rPr>
        <w:rFonts w:hint="default" w:ascii="Wingdings" w:hAnsi="Wingdings"/>
      </w:rPr>
    </w:lvl>
    <w:lvl w:ilvl="2" w:tentative="0">
      <w:start w:val="1"/>
      <w:numFmt w:val="bullet"/>
      <w:lvlText w:val=""/>
      <w:lvlJc w:val="left"/>
      <w:pPr>
        <w:tabs>
          <w:tab w:val="left" w:pos="486"/>
        </w:tabs>
        <w:ind w:left="486" w:hanging="420"/>
      </w:pPr>
      <w:rPr>
        <w:rFonts w:hint="default" w:ascii="Wingdings" w:hAnsi="Wingdings"/>
      </w:rPr>
    </w:lvl>
    <w:lvl w:ilvl="3" w:tentative="0">
      <w:start w:val="1"/>
      <w:numFmt w:val="bullet"/>
      <w:lvlText w:val=""/>
      <w:lvlJc w:val="left"/>
      <w:pPr>
        <w:tabs>
          <w:tab w:val="left" w:pos="906"/>
        </w:tabs>
        <w:ind w:left="906" w:hanging="420"/>
      </w:pPr>
      <w:rPr>
        <w:rFonts w:hint="default" w:ascii="Wingdings" w:hAnsi="Wingdings"/>
      </w:rPr>
    </w:lvl>
    <w:lvl w:ilvl="4" w:tentative="0">
      <w:start w:val="1"/>
      <w:numFmt w:val="bullet"/>
      <w:lvlText w:val=""/>
      <w:lvlJc w:val="left"/>
      <w:pPr>
        <w:tabs>
          <w:tab w:val="left" w:pos="1326"/>
        </w:tabs>
        <w:ind w:left="1326" w:hanging="420"/>
      </w:pPr>
      <w:rPr>
        <w:rFonts w:hint="default" w:ascii="Wingdings" w:hAnsi="Wingdings"/>
      </w:rPr>
    </w:lvl>
    <w:lvl w:ilvl="5" w:tentative="0">
      <w:start w:val="1"/>
      <w:numFmt w:val="bullet"/>
      <w:lvlText w:val=""/>
      <w:lvlJc w:val="left"/>
      <w:pPr>
        <w:tabs>
          <w:tab w:val="left" w:pos="1746"/>
        </w:tabs>
        <w:ind w:left="1746" w:hanging="420"/>
      </w:pPr>
      <w:rPr>
        <w:rFonts w:hint="default" w:ascii="Wingdings" w:hAnsi="Wingdings"/>
      </w:rPr>
    </w:lvl>
    <w:lvl w:ilvl="6" w:tentative="0">
      <w:start w:val="1"/>
      <w:numFmt w:val="bullet"/>
      <w:lvlText w:val=""/>
      <w:lvlJc w:val="left"/>
      <w:pPr>
        <w:tabs>
          <w:tab w:val="left" w:pos="2166"/>
        </w:tabs>
        <w:ind w:left="2166" w:hanging="420"/>
      </w:pPr>
      <w:rPr>
        <w:rFonts w:hint="default" w:ascii="Wingdings" w:hAnsi="Wingdings"/>
      </w:rPr>
    </w:lvl>
    <w:lvl w:ilvl="7" w:tentative="0">
      <w:start w:val="1"/>
      <w:numFmt w:val="bullet"/>
      <w:lvlText w:val=""/>
      <w:lvlJc w:val="left"/>
      <w:pPr>
        <w:tabs>
          <w:tab w:val="left" w:pos="2586"/>
        </w:tabs>
        <w:ind w:left="2586" w:hanging="420"/>
      </w:pPr>
      <w:rPr>
        <w:rFonts w:hint="default" w:ascii="Wingdings" w:hAnsi="Wingdings"/>
      </w:rPr>
    </w:lvl>
    <w:lvl w:ilvl="8" w:tentative="0">
      <w:start w:val="1"/>
      <w:numFmt w:val="bullet"/>
      <w:lvlText w:val=""/>
      <w:lvlJc w:val="left"/>
      <w:pPr>
        <w:tabs>
          <w:tab w:val="left" w:pos="3006"/>
        </w:tabs>
        <w:ind w:left="3006" w:hanging="420"/>
      </w:pPr>
      <w:rPr>
        <w:rFonts w:hint="default" w:ascii="Wingdings" w:hAnsi="Wingdings"/>
      </w:rPr>
    </w:lvl>
  </w:abstractNum>
  <w:abstractNum w:abstractNumId="18">
    <w:nsid w:val="65F37276"/>
    <w:multiLevelType w:val="multilevel"/>
    <w:tmpl w:val="65F37276"/>
    <w:lvl w:ilvl="0" w:tentative="0">
      <w:start w:val="1"/>
      <w:numFmt w:val="decimal"/>
      <w:lvlText w:val="%1"/>
      <w:lvlJc w:val="left"/>
      <w:pPr>
        <w:tabs>
          <w:tab w:val="left" w:pos="425"/>
        </w:tabs>
        <w:ind w:left="425" w:hanging="425"/>
      </w:pPr>
      <w:rPr>
        <w:rFonts w:hint="eastAsia"/>
      </w:rPr>
    </w:lvl>
    <w:lvl w:ilvl="1" w:tentative="0">
      <w:start w:val="1"/>
      <w:numFmt w:val="decimal"/>
      <w:pStyle w:val="119"/>
      <w:lvlText w:val="%1.%2"/>
      <w:lvlJc w:val="left"/>
      <w:pPr>
        <w:tabs>
          <w:tab w:val="left" w:pos="992"/>
        </w:tabs>
        <w:ind w:left="992" w:hanging="567"/>
      </w:pPr>
      <w:rPr>
        <w:rFonts w:hint="eastAsia"/>
      </w:rPr>
    </w:lvl>
    <w:lvl w:ilvl="2" w:tentative="0">
      <w:start w:val="1"/>
      <w:numFmt w:val="decimal"/>
      <w:pStyle w:val="70"/>
      <w:lvlText w:val="%1.%2.%3"/>
      <w:lvlJc w:val="left"/>
      <w:pPr>
        <w:tabs>
          <w:tab w:val="left" w:pos="1418"/>
        </w:tabs>
        <w:ind w:left="1418" w:hanging="567"/>
      </w:pPr>
      <w:rPr>
        <w:rFonts w:hint="eastAsia"/>
      </w:rPr>
    </w:lvl>
    <w:lvl w:ilvl="3" w:tentative="0">
      <w:start w:val="1"/>
      <w:numFmt w:val="decimal"/>
      <w:pStyle w:val="199"/>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9">
    <w:nsid w:val="6BBB39E6"/>
    <w:multiLevelType w:val="multilevel"/>
    <w:tmpl w:val="6BBB39E6"/>
    <w:lvl w:ilvl="0" w:tentative="0">
      <w:start w:val="2"/>
      <w:numFmt w:val="decimal"/>
      <w:suff w:val="nothing"/>
      <w:lvlText w:val="（%1）"/>
      <w:lvlJc w:val="left"/>
      <w:pPr>
        <w:ind w:left="0" w:firstLine="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7175544B"/>
    <w:multiLevelType w:val="singleLevel"/>
    <w:tmpl w:val="7175544B"/>
    <w:lvl w:ilvl="0" w:tentative="0">
      <w:start w:val="1"/>
      <w:numFmt w:val="bullet"/>
      <w:pStyle w:val="251"/>
      <w:lvlText w:val=""/>
      <w:lvlJc w:val="left"/>
      <w:pPr>
        <w:tabs>
          <w:tab w:val="left" w:pos="454"/>
        </w:tabs>
        <w:ind w:left="454" w:hanging="454"/>
      </w:pPr>
      <w:rPr>
        <w:rFonts w:hint="default" w:ascii="Wingdings" w:hAnsi="Wingdings"/>
      </w:rPr>
    </w:lvl>
  </w:abstractNum>
  <w:abstractNum w:abstractNumId="21">
    <w:nsid w:val="74EA0679"/>
    <w:multiLevelType w:val="multilevel"/>
    <w:tmpl w:val="74EA0679"/>
    <w:lvl w:ilvl="0" w:tentative="0">
      <w:start w:val="1"/>
      <w:numFmt w:val="decimal"/>
      <w:lvlText w:val="%1"/>
      <w:lvlJc w:val="left"/>
      <w:pPr>
        <w:tabs>
          <w:tab w:val="left" w:pos="420"/>
        </w:tabs>
        <w:ind w:left="420" w:hanging="250"/>
      </w:pPr>
      <w:rPr>
        <w:rFonts w:hint="eastAsia"/>
      </w:rPr>
    </w:lvl>
    <w:lvl w:ilvl="1" w:tentative="0">
      <w:start w:val="1"/>
      <w:numFmt w:val="lowerLetter"/>
      <w:pStyle w:val="191"/>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8"/>
  </w:num>
  <w:num w:numId="3">
    <w:abstractNumId w:val="18"/>
  </w:num>
  <w:num w:numId="4">
    <w:abstractNumId w:val="7"/>
  </w:num>
  <w:num w:numId="5">
    <w:abstractNumId w:val="9"/>
  </w:num>
  <w:num w:numId="6">
    <w:abstractNumId w:val="10"/>
  </w:num>
  <w:num w:numId="7">
    <w:abstractNumId w:val="13"/>
  </w:num>
  <w:num w:numId="8">
    <w:abstractNumId w:val="17"/>
  </w:num>
  <w:num w:numId="9">
    <w:abstractNumId w:val="21"/>
  </w:num>
  <w:num w:numId="10">
    <w:abstractNumId w:val="20"/>
  </w:num>
  <w:num w:numId="11">
    <w:abstractNumId w:val="2"/>
  </w:num>
  <w:num w:numId="12">
    <w:abstractNumId w:val="1"/>
  </w:num>
  <w:num w:numId="13">
    <w:abstractNumId w:val="19"/>
  </w:num>
  <w:num w:numId="14">
    <w:abstractNumId w:val="12"/>
  </w:num>
  <w:num w:numId="15">
    <w:abstractNumId w:val="3"/>
  </w:num>
  <w:num w:numId="16">
    <w:abstractNumId w:val="15"/>
  </w:num>
  <w:num w:numId="17">
    <w:abstractNumId w:val="6"/>
  </w:num>
  <w:num w:numId="18">
    <w:abstractNumId w:val="14"/>
  </w:num>
  <w:num w:numId="19">
    <w:abstractNumId w:val="4"/>
  </w:num>
  <w:num w:numId="20">
    <w:abstractNumId w:val="16"/>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3C48"/>
    <w:rsid w:val="000047B9"/>
    <w:rsid w:val="00005BA1"/>
    <w:rsid w:val="00007393"/>
    <w:rsid w:val="000113E9"/>
    <w:rsid w:val="00014208"/>
    <w:rsid w:val="00017884"/>
    <w:rsid w:val="00022AB3"/>
    <w:rsid w:val="00023CDE"/>
    <w:rsid w:val="000256C3"/>
    <w:rsid w:val="00045073"/>
    <w:rsid w:val="000472CD"/>
    <w:rsid w:val="00050FD0"/>
    <w:rsid w:val="00052873"/>
    <w:rsid w:val="00062EF1"/>
    <w:rsid w:val="00064EED"/>
    <w:rsid w:val="000653BD"/>
    <w:rsid w:val="00066A7E"/>
    <w:rsid w:val="000812DE"/>
    <w:rsid w:val="0008658B"/>
    <w:rsid w:val="00087F61"/>
    <w:rsid w:val="000906B3"/>
    <w:rsid w:val="00095EB5"/>
    <w:rsid w:val="000B083B"/>
    <w:rsid w:val="000B6847"/>
    <w:rsid w:val="000C19BA"/>
    <w:rsid w:val="000C26B3"/>
    <w:rsid w:val="000C3FA4"/>
    <w:rsid w:val="000C5AB7"/>
    <w:rsid w:val="000D0ED1"/>
    <w:rsid w:val="000D1264"/>
    <w:rsid w:val="000D21E3"/>
    <w:rsid w:val="000D2A3C"/>
    <w:rsid w:val="000D4515"/>
    <w:rsid w:val="000D4859"/>
    <w:rsid w:val="000D6F14"/>
    <w:rsid w:val="000E1B5C"/>
    <w:rsid w:val="000E1EA1"/>
    <w:rsid w:val="000E232B"/>
    <w:rsid w:val="000E7EA4"/>
    <w:rsid w:val="000F2353"/>
    <w:rsid w:val="000F28EB"/>
    <w:rsid w:val="000F2FD6"/>
    <w:rsid w:val="000F77C1"/>
    <w:rsid w:val="001011D4"/>
    <w:rsid w:val="001021B4"/>
    <w:rsid w:val="00110591"/>
    <w:rsid w:val="001111C4"/>
    <w:rsid w:val="00112D1F"/>
    <w:rsid w:val="00115F80"/>
    <w:rsid w:val="0012163E"/>
    <w:rsid w:val="00123A7C"/>
    <w:rsid w:val="00131BC2"/>
    <w:rsid w:val="00135705"/>
    <w:rsid w:val="0013763A"/>
    <w:rsid w:val="001431C2"/>
    <w:rsid w:val="001438C7"/>
    <w:rsid w:val="00150A16"/>
    <w:rsid w:val="00152E39"/>
    <w:rsid w:val="0015386E"/>
    <w:rsid w:val="00162212"/>
    <w:rsid w:val="00165130"/>
    <w:rsid w:val="00166F5C"/>
    <w:rsid w:val="00170E48"/>
    <w:rsid w:val="0017279C"/>
    <w:rsid w:val="00176181"/>
    <w:rsid w:val="001776DB"/>
    <w:rsid w:val="00182C51"/>
    <w:rsid w:val="00190849"/>
    <w:rsid w:val="001956F2"/>
    <w:rsid w:val="0019689A"/>
    <w:rsid w:val="001A0410"/>
    <w:rsid w:val="001A70E2"/>
    <w:rsid w:val="001B05D7"/>
    <w:rsid w:val="001B0618"/>
    <w:rsid w:val="001B4048"/>
    <w:rsid w:val="001B4CEB"/>
    <w:rsid w:val="001B5C3D"/>
    <w:rsid w:val="001C3AE0"/>
    <w:rsid w:val="001C4C04"/>
    <w:rsid w:val="001C5019"/>
    <w:rsid w:val="001D1A51"/>
    <w:rsid w:val="001D2059"/>
    <w:rsid w:val="001D46D6"/>
    <w:rsid w:val="001D47AA"/>
    <w:rsid w:val="001D55EC"/>
    <w:rsid w:val="001E2F71"/>
    <w:rsid w:val="001E4253"/>
    <w:rsid w:val="001E43D1"/>
    <w:rsid w:val="001E43F7"/>
    <w:rsid w:val="001E54AD"/>
    <w:rsid w:val="001E7A95"/>
    <w:rsid w:val="001F2228"/>
    <w:rsid w:val="001F27EB"/>
    <w:rsid w:val="001F79FD"/>
    <w:rsid w:val="00201876"/>
    <w:rsid w:val="00202402"/>
    <w:rsid w:val="00202C0F"/>
    <w:rsid w:val="00204481"/>
    <w:rsid w:val="0020548A"/>
    <w:rsid w:val="00205D52"/>
    <w:rsid w:val="00212031"/>
    <w:rsid w:val="00212CE0"/>
    <w:rsid w:val="00213439"/>
    <w:rsid w:val="0021373D"/>
    <w:rsid w:val="00215494"/>
    <w:rsid w:val="00222780"/>
    <w:rsid w:val="00224E2C"/>
    <w:rsid w:val="00227A09"/>
    <w:rsid w:val="002317F9"/>
    <w:rsid w:val="0023534B"/>
    <w:rsid w:val="00235846"/>
    <w:rsid w:val="0023774B"/>
    <w:rsid w:val="00240572"/>
    <w:rsid w:val="00242261"/>
    <w:rsid w:val="00246D93"/>
    <w:rsid w:val="00250C2B"/>
    <w:rsid w:val="002535B4"/>
    <w:rsid w:val="00253669"/>
    <w:rsid w:val="002574A8"/>
    <w:rsid w:val="002617AE"/>
    <w:rsid w:val="00262C92"/>
    <w:rsid w:val="00264FC5"/>
    <w:rsid w:val="002657EC"/>
    <w:rsid w:val="00266873"/>
    <w:rsid w:val="00267995"/>
    <w:rsid w:val="002710D3"/>
    <w:rsid w:val="00274BE5"/>
    <w:rsid w:val="00277101"/>
    <w:rsid w:val="002773D8"/>
    <w:rsid w:val="00280C9E"/>
    <w:rsid w:val="00282582"/>
    <w:rsid w:val="002833C1"/>
    <w:rsid w:val="00283A5D"/>
    <w:rsid w:val="00285E5E"/>
    <w:rsid w:val="002A112E"/>
    <w:rsid w:val="002A1A97"/>
    <w:rsid w:val="002B08F3"/>
    <w:rsid w:val="002B0D0E"/>
    <w:rsid w:val="002C29EF"/>
    <w:rsid w:val="002C3964"/>
    <w:rsid w:val="002C3CE2"/>
    <w:rsid w:val="002C622C"/>
    <w:rsid w:val="002D0789"/>
    <w:rsid w:val="002D2EB9"/>
    <w:rsid w:val="002D2EF1"/>
    <w:rsid w:val="002D4780"/>
    <w:rsid w:val="002D5C2F"/>
    <w:rsid w:val="002D6FE1"/>
    <w:rsid w:val="002D7F60"/>
    <w:rsid w:val="002E07B7"/>
    <w:rsid w:val="002E61CC"/>
    <w:rsid w:val="002E7CDA"/>
    <w:rsid w:val="002F1DB4"/>
    <w:rsid w:val="002F2019"/>
    <w:rsid w:val="002F2504"/>
    <w:rsid w:val="002F7E73"/>
    <w:rsid w:val="00301033"/>
    <w:rsid w:val="00303927"/>
    <w:rsid w:val="00304F69"/>
    <w:rsid w:val="00304FCE"/>
    <w:rsid w:val="003076D6"/>
    <w:rsid w:val="00311A2A"/>
    <w:rsid w:val="00315856"/>
    <w:rsid w:val="00316D5C"/>
    <w:rsid w:val="00316EB7"/>
    <w:rsid w:val="00321B71"/>
    <w:rsid w:val="003255C2"/>
    <w:rsid w:val="003255FF"/>
    <w:rsid w:val="00327E5C"/>
    <w:rsid w:val="00340F3A"/>
    <w:rsid w:val="00343E7E"/>
    <w:rsid w:val="00345398"/>
    <w:rsid w:val="003457BF"/>
    <w:rsid w:val="00345BA9"/>
    <w:rsid w:val="003509D1"/>
    <w:rsid w:val="00350BDA"/>
    <w:rsid w:val="00352502"/>
    <w:rsid w:val="00356441"/>
    <w:rsid w:val="00364A96"/>
    <w:rsid w:val="00364A9B"/>
    <w:rsid w:val="0036536F"/>
    <w:rsid w:val="003662BC"/>
    <w:rsid w:val="0037393D"/>
    <w:rsid w:val="00380980"/>
    <w:rsid w:val="003810A5"/>
    <w:rsid w:val="00382058"/>
    <w:rsid w:val="00382CBE"/>
    <w:rsid w:val="0038468C"/>
    <w:rsid w:val="003B1218"/>
    <w:rsid w:val="003B254D"/>
    <w:rsid w:val="003B48EA"/>
    <w:rsid w:val="003B5D28"/>
    <w:rsid w:val="003C2263"/>
    <w:rsid w:val="003C4F75"/>
    <w:rsid w:val="003D2946"/>
    <w:rsid w:val="003E0268"/>
    <w:rsid w:val="003E0C8F"/>
    <w:rsid w:val="003E5034"/>
    <w:rsid w:val="003E6196"/>
    <w:rsid w:val="003E6A13"/>
    <w:rsid w:val="003F1F15"/>
    <w:rsid w:val="003F3A78"/>
    <w:rsid w:val="003F3DBF"/>
    <w:rsid w:val="00411719"/>
    <w:rsid w:val="00415266"/>
    <w:rsid w:val="00421214"/>
    <w:rsid w:val="00421D3C"/>
    <w:rsid w:val="00423E56"/>
    <w:rsid w:val="00424341"/>
    <w:rsid w:val="004319A7"/>
    <w:rsid w:val="004353A6"/>
    <w:rsid w:val="00435E1F"/>
    <w:rsid w:val="004362A1"/>
    <w:rsid w:val="00437723"/>
    <w:rsid w:val="00441716"/>
    <w:rsid w:val="00450AD2"/>
    <w:rsid w:val="0045259C"/>
    <w:rsid w:val="00452B49"/>
    <w:rsid w:val="00457C41"/>
    <w:rsid w:val="004600BF"/>
    <w:rsid w:val="004601AF"/>
    <w:rsid w:val="004676AF"/>
    <w:rsid w:val="00470D9A"/>
    <w:rsid w:val="00471658"/>
    <w:rsid w:val="00474B53"/>
    <w:rsid w:val="004753B1"/>
    <w:rsid w:val="004845FA"/>
    <w:rsid w:val="00485DB8"/>
    <w:rsid w:val="004900E8"/>
    <w:rsid w:val="00492AA6"/>
    <w:rsid w:val="00493914"/>
    <w:rsid w:val="004961F8"/>
    <w:rsid w:val="004A13BB"/>
    <w:rsid w:val="004A5210"/>
    <w:rsid w:val="004A55C4"/>
    <w:rsid w:val="004A60D1"/>
    <w:rsid w:val="004A622F"/>
    <w:rsid w:val="004A7333"/>
    <w:rsid w:val="004B147C"/>
    <w:rsid w:val="004B14FE"/>
    <w:rsid w:val="004B22E9"/>
    <w:rsid w:val="004B67A1"/>
    <w:rsid w:val="004C0BC5"/>
    <w:rsid w:val="004C3181"/>
    <w:rsid w:val="004C3263"/>
    <w:rsid w:val="004D057C"/>
    <w:rsid w:val="004D2E1E"/>
    <w:rsid w:val="004D4E21"/>
    <w:rsid w:val="004D500C"/>
    <w:rsid w:val="004D5C7B"/>
    <w:rsid w:val="004E0B5F"/>
    <w:rsid w:val="004E0D01"/>
    <w:rsid w:val="004F05FD"/>
    <w:rsid w:val="004F35E0"/>
    <w:rsid w:val="004F4125"/>
    <w:rsid w:val="004F697F"/>
    <w:rsid w:val="00503972"/>
    <w:rsid w:val="005048FB"/>
    <w:rsid w:val="00511B56"/>
    <w:rsid w:val="005127B5"/>
    <w:rsid w:val="0051317E"/>
    <w:rsid w:val="00515B79"/>
    <w:rsid w:val="005214F8"/>
    <w:rsid w:val="005215DD"/>
    <w:rsid w:val="00522C3B"/>
    <w:rsid w:val="00523304"/>
    <w:rsid w:val="0053450D"/>
    <w:rsid w:val="00534876"/>
    <w:rsid w:val="00536251"/>
    <w:rsid w:val="0054533A"/>
    <w:rsid w:val="0054542A"/>
    <w:rsid w:val="00545937"/>
    <w:rsid w:val="0055037D"/>
    <w:rsid w:val="00557BF3"/>
    <w:rsid w:val="00560F74"/>
    <w:rsid w:val="005648A0"/>
    <w:rsid w:val="005669CB"/>
    <w:rsid w:val="00567FE9"/>
    <w:rsid w:val="0057294F"/>
    <w:rsid w:val="00574634"/>
    <w:rsid w:val="00575764"/>
    <w:rsid w:val="00577C18"/>
    <w:rsid w:val="00585D8F"/>
    <w:rsid w:val="00593893"/>
    <w:rsid w:val="00594CFC"/>
    <w:rsid w:val="00596E6B"/>
    <w:rsid w:val="005A1199"/>
    <w:rsid w:val="005A4E41"/>
    <w:rsid w:val="005A558B"/>
    <w:rsid w:val="005A5D93"/>
    <w:rsid w:val="005A768E"/>
    <w:rsid w:val="005B0E35"/>
    <w:rsid w:val="005B163E"/>
    <w:rsid w:val="005B1F8A"/>
    <w:rsid w:val="005B441D"/>
    <w:rsid w:val="005B507E"/>
    <w:rsid w:val="005B61F6"/>
    <w:rsid w:val="005B761E"/>
    <w:rsid w:val="005C3E28"/>
    <w:rsid w:val="005D1F0C"/>
    <w:rsid w:val="005D281E"/>
    <w:rsid w:val="005D495A"/>
    <w:rsid w:val="005D6BDD"/>
    <w:rsid w:val="005D7223"/>
    <w:rsid w:val="005D72C3"/>
    <w:rsid w:val="005E2D2A"/>
    <w:rsid w:val="005E4AFD"/>
    <w:rsid w:val="005E633E"/>
    <w:rsid w:val="005F075A"/>
    <w:rsid w:val="005F4831"/>
    <w:rsid w:val="005F6AE1"/>
    <w:rsid w:val="005F7012"/>
    <w:rsid w:val="005F7071"/>
    <w:rsid w:val="00600816"/>
    <w:rsid w:val="006107BC"/>
    <w:rsid w:val="00613551"/>
    <w:rsid w:val="0061465C"/>
    <w:rsid w:val="00615E99"/>
    <w:rsid w:val="0061698B"/>
    <w:rsid w:val="006174E2"/>
    <w:rsid w:val="0062349F"/>
    <w:rsid w:val="006239D7"/>
    <w:rsid w:val="00623A50"/>
    <w:rsid w:val="00626E53"/>
    <w:rsid w:val="0063073B"/>
    <w:rsid w:val="0063160D"/>
    <w:rsid w:val="00636A31"/>
    <w:rsid w:val="00637F16"/>
    <w:rsid w:val="00643161"/>
    <w:rsid w:val="00644D41"/>
    <w:rsid w:val="00650C55"/>
    <w:rsid w:val="00652D20"/>
    <w:rsid w:val="006533F7"/>
    <w:rsid w:val="00665134"/>
    <w:rsid w:val="006660D6"/>
    <w:rsid w:val="0066681B"/>
    <w:rsid w:val="00671049"/>
    <w:rsid w:val="00680074"/>
    <w:rsid w:val="00680D11"/>
    <w:rsid w:val="00685688"/>
    <w:rsid w:val="00691DCA"/>
    <w:rsid w:val="00693725"/>
    <w:rsid w:val="006938CF"/>
    <w:rsid w:val="00694784"/>
    <w:rsid w:val="00695F09"/>
    <w:rsid w:val="006961C8"/>
    <w:rsid w:val="006968C8"/>
    <w:rsid w:val="00696BF3"/>
    <w:rsid w:val="006A41D0"/>
    <w:rsid w:val="006B0D68"/>
    <w:rsid w:val="006C244C"/>
    <w:rsid w:val="006C43A4"/>
    <w:rsid w:val="006D42FE"/>
    <w:rsid w:val="006D6294"/>
    <w:rsid w:val="006E0BA2"/>
    <w:rsid w:val="006E204A"/>
    <w:rsid w:val="006E2168"/>
    <w:rsid w:val="006E2E22"/>
    <w:rsid w:val="006E371A"/>
    <w:rsid w:val="006E4B3B"/>
    <w:rsid w:val="006E5600"/>
    <w:rsid w:val="006F2CA9"/>
    <w:rsid w:val="006F3914"/>
    <w:rsid w:val="007031B9"/>
    <w:rsid w:val="00704490"/>
    <w:rsid w:val="007206EB"/>
    <w:rsid w:val="0072274B"/>
    <w:rsid w:val="007307A1"/>
    <w:rsid w:val="00733233"/>
    <w:rsid w:val="0073757F"/>
    <w:rsid w:val="00741101"/>
    <w:rsid w:val="0074299C"/>
    <w:rsid w:val="00743576"/>
    <w:rsid w:val="00751B28"/>
    <w:rsid w:val="007538EE"/>
    <w:rsid w:val="007566BA"/>
    <w:rsid w:val="007568DA"/>
    <w:rsid w:val="00762254"/>
    <w:rsid w:val="00771CAD"/>
    <w:rsid w:val="007722E8"/>
    <w:rsid w:val="0077298B"/>
    <w:rsid w:val="007747E9"/>
    <w:rsid w:val="00777A51"/>
    <w:rsid w:val="0078242A"/>
    <w:rsid w:val="007828C7"/>
    <w:rsid w:val="007963A4"/>
    <w:rsid w:val="00797973"/>
    <w:rsid w:val="007A031D"/>
    <w:rsid w:val="007A22DC"/>
    <w:rsid w:val="007A2954"/>
    <w:rsid w:val="007A5A71"/>
    <w:rsid w:val="007A7CF6"/>
    <w:rsid w:val="007B10E9"/>
    <w:rsid w:val="007B4235"/>
    <w:rsid w:val="007B5088"/>
    <w:rsid w:val="007B682A"/>
    <w:rsid w:val="007B6E0A"/>
    <w:rsid w:val="007B6FE7"/>
    <w:rsid w:val="007C1CC7"/>
    <w:rsid w:val="007C3FA1"/>
    <w:rsid w:val="007C53A8"/>
    <w:rsid w:val="007C72F8"/>
    <w:rsid w:val="007D203A"/>
    <w:rsid w:val="007D25D6"/>
    <w:rsid w:val="007D2886"/>
    <w:rsid w:val="007D30BA"/>
    <w:rsid w:val="007D7F9E"/>
    <w:rsid w:val="007E27BE"/>
    <w:rsid w:val="007E4037"/>
    <w:rsid w:val="007E489B"/>
    <w:rsid w:val="007F01A7"/>
    <w:rsid w:val="007F3C5F"/>
    <w:rsid w:val="007F43A2"/>
    <w:rsid w:val="007F61FB"/>
    <w:rsid w:val="007F7C54"/>
    <w:rsid w:val="008007F9"/>
    <w:rsid w:val="00800F5C"/>
    <w:rsid w:val="008047BD"/>
    <w:rsid w:val="00805E1E"/>
    <w:rsid w:val="00812565"/>
    <w:rsid w:val="008139EC"/>
    <w:rsid w:val="00814F81"/>
    <w:rsid w:val="00816EA6"/>
    <w:rsid w:val="00821264"/>
    <w:rsid w:val="0082166C"/>
    <w:rsid w:val="00823462"/>
    <w:rsid w:val="00825057"/>
    <w:rsid w:val="008372DB"/>
    <w:rsid w:val="0084036F"/>
    <w:rsid w:val="0084190B"/>
    <w:rsid w:val="00842AD2"/>
    <w:rsid w:val="00843673"/>
    <w:rsid w:val="00843919"/>
    <w:rsid w:val="00844B1E"/>
    <w:rsid w:val="00850E1E"/>
    <w:rsid w:val="008528CF"/>
    <w:rsid w:val="00856429"/>
    <w:rsid w:val="00862171"/>
    <w:rsid w:val="00863C20"/>
    <w:rsid w:val="00864808"/>
    <w:rsid w:val="00870053"/>
    <w:rsid w:val="00877CA0"/>
    <w:rsid w:val="00880178"/>
    <w:rsid w:val="00880BF5"/>
    <w:rsid w:val="00881C9B"/>
    <w:rsid w:val="00882858"/>
    <w:rsid w:val="00886374"/>
    <w:rsid w:val="00890F21"/>
    <w:rsid w:val="0089446E"/>
    <w:rsid w:val="008A191C"/>
    <w:rsid w:val="008A1A40"/>
    <w:rsid w:val="008A24FB"/>
    <w:rsid w:val="008A5A51"/>
    <w:rsid w:val="008B02E7"/>
    <w:rsid w:val="008B056E"/>
    <w:rsid w:val="008B3312"/>
    <w:rsid w:val="008B3723"/>
    <w:rsid w:val="008B571E"/>
    <w:rsid w:val="008C0505"/>
    <w:rsid w:val="008C1A9D"/>
    <w:rsid w:val="008C52F7"/>
    <w:rsid w:val="008C6430"/>
    <w:rsid w:val="008D67FB"/>
    <w:rsid w:val="008E2476"/>
    <w:rsid w:val="008E4781"/>
    <w:rsid w:val="008E51EE"/>
    <w:rsid w:val="008F123B"/>
    <w:rsid w:val="008F15D7"/>
    <w:rsid w:val="008F38EF"/>
    <w:rsid w:val="009028F2"/>
    <w:rsid w:val="00904FC5"/>
    <w:rsid w:val="00910397"/>
    <w:rsid w:val="00911D22"/>
    <w:rsid w:val="00911DFA"/>
    <w:rsid w:val="00913256"/>
    <w:rsid w:val="00914DDC"/>
    <w:rsid w:val="009363E3"/>
    <w:rsid w:val="00937E89"/>
    <w:rsid w:val="00943F44"/>
    <w:rsid w:val="00944523"/>
    <w:rsid w:val="009515F8"/>
    <w:rsid w:val="00951847"/>
    <w:rsid w:val="00952ADA"/>
    <w:rsid w:val="00953407"/>
    <w:rsid w:val="0095515F"/>
    <w:rsid w:val="00964BDA"/>
    <w:rsid w:val="00967A9F"/>
    <w:rsid w:val="009717A4"/>
    <w:rsid w:val="00973016"/>
    <w:rsid w:val="00973584"/>
    <w:rsid w:val="0097442E"/>
    <w:rsid w:val="009835DE"/>
    <w:rsid w:val="00984E61"/>
    <w:rsid w:val="00991673"/>
    <w:rsid w:val="009932EA"/>
    <w:rsid w:val="009941FB"/>
    <w:rsid w:val="00994DA0"/>
    <w:rsid w:val="009A0B51"/>
    <w:rsid w:val="009B2CAC"/>
    <w:rsid w:val="009C2080"/>
    <w:rsid w:val="009C64C0"/>
    <w:rsid w:val="009D275E"/>
    <w:rsid w:val="009D42CB"/>
    <w:rsid w:val="009E186E"/>
    <w:rsid w:val="009E50A5"/>
    <w:rsid w:val="009E531F"/>
    <w:rsid w:val="009F0374"/>
    <w:rsid w:val="009F19EB"/>
    <w:rsid w:val="009F5E5A"/>
    <w:rsid w:val="009F627B"/>
    <w:rsid w:val="00A0020D"/>
    <w:rsid w:val="00A0264A"/>
    <w:rsid w:val="00A03385"/>
    <w:rsid w:val="00A038BA"/>
    <w:rsid w:val="00A0614F"/>
    <w:rsid w:val="00A07383"/>
    <w:rsid w:val="00A112BC"/>
    <w:rsid w:val="00A124C8"/>
    <w:rsid w:val="00A13C67"/>
    <w:rsid w:val="00A1477D"/>
    <w:rsid w:val="00A2571D"/>
    <w:rsid w:val="00A31772"/>
    <w:rsid w:val="00A31C00"/>
    <w:rsid w:val="00A33B75"/>
    <w:rsid w:val="00A34005"/>
    <w:rsid w:val="00A354CE"/>
    <w:rsid w:val="00A46D42"/>
    <w:rsid w:val="00A47F90"/>
    <w:rsid w:val="00A51829"/>
    <w:rsid w:val="00A53AA6"/>
    <w:rsid w:val="00A56EB8"/>
    <w:rsid w:val="00A5742F"/>
    <w:rsid w:val="00A60E13"/>
    <w:rsid w:val="00A62C6A"/>
    <w:rsid w:val="00A63359"/>
    <w:rsid w:val="00A660E8"/>
    <w:rsid w:val="00A701AD"/>
    <w:rsid w:val="00A71ECD"/>
    <w:rsid w:val="00A73821"/>
    <w:rsid w:val="00A75900"/>
    <w:rsid w:val="00A7794B"/>
    <w:rsid w:val="00A779B0"/>
    <w:rsid w:val="00A82139"/>
    <w:rsid w:val="00A84F67"/>
    <w:rsid w:val="00A90182"/>
    <w:rsid w:val="00AA1220"/>
    <w:rsid w:val="00AA3BED"/>
    <w:rsid w:val="00AA405F"/>
    <w:rsid w:val="00AA608B"/>
    <w:rsid w:val="00AA6CA9"/>
    <w:rsid w:val="00AB0B62"/>
    <w:rsid w:val="00AB7123"/>
    <w:rsid w:val="00AC1027"/>
    <w:rsid w:val="00AC2913"/>
    <w:rsid w:val="00AE7B34"/>
    <w:rsid w:val="00AF4E45"/>
    <w:rsid w:val="00AF63BB"/>
    <w:rsid w:val="00B02CA0"/>
    <w:rsid w:val="00B078BA"/>
    <w:rsid w:val="00B11BBC"/>
    <w:rsid w:val="00B124AA"/>
    <w:rsid w:val="00B21504"/>
    <w:rsid w:val="00B21B67"/>
    <w:rsid w:val="00B24E37"/>
    <w:rsid w:val="00B31DCE"/>
    <w:rsid w:val="00B43D36"/>
    <w:rsid w:val="00B44E0C"/>
    <w:rsid w:val="00B45208"/>
    <w:rsid w:val="00B45AF6"/>
    <w:rsid w:val="00B46E9A"/>
    <w:rsid w:val="00B51759"/>
    <w:rsid w:val="00B650C1"/>
    <w:rsid w:val="00B65D1E"/>
    <w:rsid w:val="00B74A6C"/>
    <w:rsid w:val="00B74FBB"/>
    <w:rsid w:val="00B77457"/>
    <w:rsid w:val="00B80669"/>
    <w:rsid w:val="00B83AAC"/>
    <w:rsid w:val="00B85E49"/>
    <w:rsid w:val="00B8685F"/>
    <w:rsid w:val="00B8703D"/>
    <w:rsid w:val="00B90012"/>
    <w:rsid w:val="00B936A7"/>
    <w:rsid w:val="00B950CE"/>
    <w:rsid w:val="00B97855"/>
    <w:rsid w:val="00BA0DEA"/>
    <w:rsid w:val="00BA2360"/>
    <w:rsid w:val="00BA442F"/>
    <w:rsid w:val="00BB0C8D"/>
    <w:rsid w:val="00BB1BA2"/>
    <w:rsid w:val="00BB28D2"/>
    <w:rsid w:val="00BC0DC6"/>
    <w:rsid w:val="00BC1B28"/>
    <w:rsid w:val="00BC2581"/>
    <w:rsid w:val="00BC3E24"/>
    <w:rsid w:val="00BC4A1C"/>
    <w:rsid w:val="00BC69B4"/>
    <w:rsid w:val="00BD39F0"/>
    <w:rsid w:val="00BD658F"/>
    <w:rsid w:val="00BD7DCA"/>
    <w:rsid w:val="00BE0F39"/>
    <w:rsid w:val="00BE3A32"/>
    <w:rsid w:val="00BE3AA6"/>
    <w:rsid w:val="00BE4589"/>
    <w:rsid w:val="00BE6B67"/>
    <w:rsid w:val="00BE6FE1"/>
    <w:rsid w:val="00BF13E3"/>
    <w:rsid w:val="00BF25EF"/>
    <w:rsid w:val="00BF36D2"/>
    <w:rsid w:val="00BF45FA"/>
    <w:rsid w:val="00BF4D38"/>
    <w:rsid w:val="00BF718D"/>
    <w:rsid w:val="00C02F70"/>
    <w:rsid w:val="00C06D50"/>
    <w:rsid w:val="00C0735F"/>
    <w:rsid w:val="00C1109A"/>
    <w:rsid w:val="00C14C00"/>
    <w:rsid w:val="00C17446"/>
    <w:rsid w:val="00C21B0E"/>
    <w:rsid w:val="00C23A3A"/>
    <w:rsid w:val="00C25F3F"/>
    <w:rsid w:val="00C3372C"/>
    <w:rsid w:val="00C40A09"/>
    <w:rsid w:val="00C41327"/>
    <w:rsid w:val="00C41B1B"/>
    <w:rsid w:val="00C432A4"/>
    <w:rsid w:val="00C54672"/>
    <w:rsid w:val="00C55095"/>
    <w:rsid w:val="00C571C3"/>
    <w:rsid w:val="00C62466"/>
    <w:rsid w:val="00C6439D"/>
    <w:rsid w:val="00C742BD"/>
    <w:rsid w:val="00C75310"/>
    <w:rsid w:val="00C759E4"/>
    <w:rsid w:val="00C75C93"/>
    <w:rsid w:val="00C774CB"/>
    <w:rsid w:val="00C8430C"/>
    <w:rsid w:val="00C91540"/>
    <w:rsid w:val="00C94282"/>
    <w:rsid w:val="00C94A6A"/>
    <w:rsid w:val="00CA1E96"/>
    <w:rsid w:val="00CB5DDE"/>
    <w:rsid w:val="00CB6F25"/>
    <w:rsid w:val="00CC0695"/>
    <w:rsid w:val="00CC34DD"/>
    <w:rsid w:val="00CC3A1C"/>
    <w:rsid w:val="00CC595C"/>
    <w:rsid w:val="00CD1CD3"/>
    <w:rsid w:val="00CD344D"/>
    <w:rsid w:val="00CD4FBE"/>
    <w:rsid w:val="00CD7FA2"/>
    <w:rsid w:val="00CE0B71"/>
    <w:rsid w:val="00CE1BB6"/>
    <w:rsid w:val="00CE3940"/>
    <w:rsid w:val="00CE5A1C"/>
    <w:rsid w:val="00CE6674"/>
    <w:rsid w:val="00CF0D47"/>
    <w:rsid w:val="00CF13C1"/>
    <w:rsid w:val="00CF24D0"/>
    <w:rsid w:val="00CF270B"/>
    <w:rsid w:val="00CF27F9"/>
    <w:rsid w:val="00CF33A7"/>
    <w:rsid w:val="00CF57BF"/>
    <w:rsid w:val="00CF6622"/>
    <w:rsid w:val="00CF6D83"/>
    <w:rsid w:val="00CF726C"/>
    <w:rsid w:val="00D0122C"/>
    <w:rsid w:val="00D0546E"/>
    <w:rsid w:val="00D1079D"/>
    <w:rsid w:val="00D12766"/>
    <w:rsid w:val="00D17079"/>
    <w:rsid w:val="00D171AB"/>
    <w:rsid w:val="00D21957"/>
    <w:rsid w:val="00D21BE0"/>
    <w:rsid w:val="00D273C9"/>
    <w:rsid w:val="00D2774D"/>
    <w:rsid w:val="00D30153"/>
    <w:rsid w:val="00D3682B"/>
    <w:rsid w:val="00D3746A"/>
    <w:rsid w:val="00D43708"/>
    <w:rsid w:val="00D43DCF"/>
    <w:rsid w:val="00D4445F"/>
    <w:rsid w:val="00D47764"/>
    <w:rsid w:val="00D509D0"/>
    <w:rsid w:val="00D51DF1"/>
    <w:rsid w:val="00D533CA"/>
    <w:rsid w:val="00D539BD"/>
    <w:rsid w:val="00D6604D"/>
    <w:rsid w:val="00D66710"/>
    <w:rsid w:val="00D70280"/>
    <w:rsid w:val="00D72207"/>
    <w:rsid w:val="00D756FC"/>
    <w:rsid w:val="00D7599C"/>
    <w:rsid w:val="00D818AC"/>
    <w:rsid w:val="00D90DE3"/>
    <w:rsid w:val="00D91279"/>
    <w:rsid w:val="00D93D97"/>
    <w:rsid w:val="00D949AA"/>
    <w:rsid w:val="00D95F24"/>
    <w:rsid w:val="00DA1623"/>
    <w:rsid w:val="00DA52DE"/>
    <w:rsid w:val="00DA5E11"/>
    <w:rsid w:val="00DA6A54"/>
    <w:rsid w:val="00DA72E1"/>
    <w:rsid w:val="00DB05B5"/>
    <w:rsid w:val="00DB05B6"/>
    <w:rsid w:val="00DB0785"/>
    <w:rsid w:val="00DB3AAF"/>
    <w:rsid w:val="00DC040E"/>
    <w:rsid w:val="00DC3D4B"/>
    <w:rsid w:val="00DC3E42"/>
    <w:rsid w:val="00DC5CE5"/>
    <w:rsid w:val="00DD0902"/>
    <w:rsid w:val="00DD7CD5"/>
    <w:rsid w:val="00DD7D21"/>
    <w:rsid w:val="00DE7569"/>
    <w:rsid w:val="00DF1B72"/>
    <w:rsid w:val="00DF4704"/>
    <w:rsid w:val="00DF470B"/>
    <w:rsid w:val="00DF5D57"/>
    <w:rsid w:val="00DF763F"/>
    <w:rsid w:val="00E002CA"/>
    <w:rsid w:val="00E0149C"/>
    <w:rsid w:val="00E029B6"/>
    <w:rsid w:val="00E041E8"/>
    <w:rsid w:val="00E04BBB"/>
    <w:rsid w:val="00E06DC1"/>
    <w:rsid w:val="00E07CA9"/>
    <w:rsid w:val="00E11316"/>
    <w:rsid w:val="00E13BBC"/>
    <w:rsid w:val="00E16E9F"/>
    <w:rsid w:val="00E202B0"/>
    <w:rsid w:val="00E267BE"/>
    <w:rsid w:val="00E2749B"/>
    <w:rsid w:val="00E277A2"/>
    <w:rsid w:val="00E30D6D"/>
    <w:rsid w:val="00E37508"/>
    <w:rsid w:val="00E47156"/>
    <w:rsid w:val="00E5174A"/>
    <w:rsid w:val="00E54DEA"/>
    <w:rsid w:val="00E552B1"/>
    <w:rsid w:val="00E5723B"/>
    <w:rsid w:val="00E574F1"/>
    <w:rsid w:val="00E64A94"/>
    <w:rsid w:val="00E658DD"/>
    <w:rsid w:val="00E66058"/>
    <w:rsid w:val="00E67192"/>
    <w:rsid w:val="00E67520"/>
    <w:rsid w:val="00E71C65"/>
    <w:rsid w:val="00E71E4F"/>
    <w:rsid w:val="00E74897"/>
    <w:rsid w:val="00E74D0C"/>
    <w:rsid w:val="00E76EFE"/>
    <w:rsid w:val="00E776F8"/>
    <w:rsid w:val="00E80F04"/>
    <w:rsid w:val="00E8317B"/>
    <w:rsid w:val="00E85223"/>
    <w:rsid w:val="00E865AE"/>
    <w:rsid w:val="00E867D7"/>
    <w:rsid w:val="00E8737F"/>
    <w:rsid w:val="00E874D6"/>
    <w:rsid w:val="00E87A79"/>
    <w:rsid w:val="00E90034"/>
    <w:rsid w:val="00E92517"/>
    <w:rsid w:val="00EA35D1"/>
    <w:rsid w:val="00EA606D"/>
    <w:rsid w:val="00EA6E0F"/>
    <w:rsid w:val="00EB0C34"/>
    <w:rsid w:val="00EB4459"/>
    <w:rsid w:val="00EB586C"/>
    <w:rsid w:val="00EC1093"/>
    <w:rsid w:val="00EC4AA6"/>
    <w:rsid w:val="00EC6C9A"/>
    <w:rsid w:val="00EC702B"/>
    <w:rsid w:val="00ED258F"/>
    <w:rsid w:val="00ED3EFC"/>
    <w:rsid w:val="00ED5211"/>
    <w:rsid w:val="00ED565C"/>
    <w:rsid w:val="00EE41EE"/>
    <w:rsid w:val="00EE4CB1"/>
    <w:rsid w:val="00EE5DDC"/>
    <w:rsid w:val="00EE5F9B"/>
    <w:rsid w:val="00EE661F"/>
    <w:rsid w:val="00EF00E9"/>
    <w:rsid w:val="00EF0791"/>
    <w:rsid w:val="00EF18F3"/>
    <w:rsid w:val="00EF2999"/>
    <w:rsid w:val="00EF37A7"/>
    <w:rsid w:val="00EF5FBC"/>
    <w:rsid w:val="00F05EDA"/>
    <w:rsid w:val="00F2127A"/>
    <w:rsid w:val="00F22652"/>
    <w:rsid w:val="00F22A83"/>
    <w:rsid w:val="00F26C0F"/>
    <w:rsid w:val="00F27986"/>
    <w:rsid w:val="00F3051F"/>
    <w:rsid w:val="00F453A7"/>
    <w:rsid w:val="00F46FD1"/>
    <w:rsid w:val="00F56070"/>
    <w:rsid w:val="00F56BCA"/>
    <w:rsid w:val="00F56D3C"/>
    <w:rsid w:val="00F57408"/>
    <w:rsid w:val="00F60E22"/>
    <w:rsid w:val="00F61915"/>
    <w:rsid w:val="00F635BD"/>
    <w:rsid w:val="00F66DF3"/>
    <w:rsid w:val="00F67002"/>
    <w:rsid w:val="00F67761"/>
    <w:rsid w:val="00F7185D"/>
    <w:rsid w:val="00F740A9"/>
    <w:rsid w:val="00F76943"/>
    <w:rsid w:val="00F80476"/>
    <w:rsid w:val="00F80F80"/>
    <w:rsid w:val="00F83C48"/>
    <w:rsid w:val="00F85D47"/>
    <w:rsid w:val="00F860A7"/>
    <w:rsid w:val="00F87E80"/>
    <w:rsid w:val="00F90D45"/>
    <w:rsid w:val="00F922F4"/>
    <w:rsid w:val="00F923F4"/>
    <w:rsid w:val="00F94AA5"/>
    <w:rsid w:val="00F95460"/>
    <w:rsid w:val="00FA05B4"/>
    <w:rsid w:val="00FA0FFF"/>
    <w:rsid w:val="00FA2447"/>
    <w:rsid w:val="00FA4589"/>
    <w:rsid w:val="00FA564B"/>
    <w:rsid w:val="00FB1578"/>
    <w:rsid w:val="00FB75E6"/>
    <w:rsid w:val="00FD73BD"/>
    <w:rsid w:val="00FE6B98"/>
    <w:rsid w:val="00FF05E6"/>
    <w:rsid w:val="00FF06D5"/>
    <w:rsid w:val="00FF0948"/>
    <w:rsid w:val="011F26C8"/>
    <w:rsid w:val="01491868"/>
    <w:rsid w:val="0164441F"/>
    <w:rsid w:val="018779F4"/>
    <w:rsid w:val="01ED38D8"/>
    <w:rsid w:val="020B5797"/>
    <w:rsid w:val="0218351A"/>
    <w:rsid w:val="02242318"/>
    <w:rsid w:val="02714664"/>
    <w:rsid w:val="02827B4B"/>
    <w:rsid w:val="03030374"/>
    <w:rsid w:val="035D7199"/>
    <w:rsid w:val="03C5633F"/>
    <w:rsid w:val="03F40CF1"/>
    <w:rsid w:val="04172BFD"/>
    <w:rsid w:val="041D55A4"/>
    <w:rsid w:val="0427774B"/>
    <w:rsid w:val="04521A00"/>
    <w:rsid w:val="04BC3242"/>
    <w:rsid w:val="04BD03F9"/>
    <w:rsid w:val="04FF4369"/>
    <w:rsid w:val="050456EB"/>
    <w:rsid w:val="054111D6"/>
    <w:rsid w:val="057D0EF8"/>
    <w:rsid w:val="05ED49B8"/>
    <w:rsid w:val="05F50F26"/>
    <w:rsid w:val="06001C61"/>
    <w:rsid w:val="064A6AA7"/>
    <w:rsid w:val="06BC536B"/>
    <w:rsid w:val="07B41898"/>
    <w:rsid w:val="07F67D82"/>
    <w:rsid w:val="08272253"/>
    <w:rsid w:val="087822C7"/>
    <w:rsid w:val="087C2C82"/>
    <w:rsid w:val="09164692"/>
    <w:rsid w:val="094B5377"/>
    <w:rsid w:val="0A441343"/>
    <w:rsid w:val="0A9779D5"/>
    <w:rsid w:val="0B1121FB"/>
    <w:rsid w:val="0B296865"/>
    <w:rsid w:val="0B2C047C"/>
    <w:rsid w:val="0B71483B"/>
    <w:rsid w:val="0C2D2780"/>
    <w:rsid w:val="0C3A668A"/>
    <w:rsid w:val="0C481099"/>
    <w:rsid w:val="0CB373A0"/>
    <w:rsid w:val="0CF358F3"/>
    <w:rsid w:val="0D204CE5"/>
    <w:rsid w:val="0D325465"/>
    <w:rsid w:val="0D895201"/>
    <w:rsid w:val="0E046E7F"/>
    <w:rsid w:val="0E44627D"/>
    <w:rsid w:val="0E7560ED"/>
    <w:rsid w:val="0F3A520B"/>
    <w:rsid w:val="0F82486C"/>
    <w:rsid w:val="0F8E5C8C"/>
    <w:rsid w:val="0FF5399F"/>
    <w:rsid w:val="1021454E"/>
    <w:rsid w:val="104851C0"/>
    <w:rsid w:val="105834BF"/>
    <w:rsid w:val="10611FE4"/>
    <w:rsid w:val="10946EE9"/>
    <w:rsid w:val="10D67489"/>
    <w:rsid w:val="10E079AC"/>
    <w:rsid w:val="1106779F"/>
    <w:rsid w:val="11C73866"/>
    <w:rsid w:val="11D1461E"/>
    <w:rsid w:val="11F55AAA"/>
    <w:rsid w:val="124031A6"/>
    <w:rsid w:val="12966F28"/>
    <w:rsid w:val="12F26C61"/>
    <w:rsid w:val="13213502"/>
    <w:rsid w:val="13893E48"/>
    <w:rsid w:val="138D069B"/>
    <w:rsid w:val="13F95702"/>
    <w:rsid w:val="14043480"/>
    <w:rsid w:val="140F04B2"/>
    <w:rsid w:val="14383D4E"/>
    <w:rsid w:val="143E527F"/>
    <w:rsid w:val="144E52BC"/>
    <w:rsid w:val="14B60DBB"/>
    <w:rsid w:val="14CD4E15"/>
    <w:rsid w:val="1535242E"/>
    <w:rsid w:val="158D5230"/>
    <w:rsid w:val="15964B64"/>
    <w:rsid w:val="15F13A1C"/>
    <w:rsid w:val="162A1BC1"/>
    <w:rsid w:val="16F75BAA"/>
    <w:rsid w:val="16FC48C6"/>
    <w:rsid w:val="170C72EE"/>
    <w:rsid w:val="172A5109"/>
    <w:rsid w:val="17551A0B"/>
    <w:rsid w:val="17691525"/>
    <w:rsid w:val="17847CFC"/>
    <w:rsid w:val="17B469E3"/>
    <w:rsid w:val="17D957A9"/>
    <w:rsid w:val="18296441"/>
    <w:rsid w:val="187B343B"/>
    <w:rsid w:val="19231141"/>
    <w:rsid w:val="1950127E"/>
    <w:rsid w:val="19523115"/>
    <w:rsid w:val="19690C26"/>
    <w:rsid w:val="19CB5709"/>
    <w:rsid w:val="19E45722"/>
    <w:rsid w:val="1A3337D2"/>
    <w:rsid w:val="1A62793D"/>
    <w:rsid w:val="1AAC4EF3"/>
    <w:rsid w:val="1AE257D5"/>
    <w:rsid w:val="1AE91AFE"/>
    <w:rsid w:val="1B5B3648"/>
    <w:rsid w:val="1B8B5C96"/>
    <w:rsid w:val="1BF708CA"/>
    <w:rsid w:val="1BFC68FD"/>
    <w:rsid w:val="1C005835"/>
    <w:rsid w:val="1C212F27"/>
    <w:rsid w:val="1C2F4E0E"/>
    <w:rsid w:val="1C42650C"/>
    <w:rsid w:val="1C561B1E"/>
    <w:rsid w:val="1C5A0A66"/>
    <w:rsid w:val="1C6B38D9"/>
    <w:rsid w:val="1C71240F"/>
    <w:rsid w:val="1CCE1778"/>
    <w:rsid w:val="1CFA2D38"/>
    <w:rsid w:val="1D09274E"/>
    <w:rsid w:val="1D7649A6"/>
    <w:rsid w:val="1D9D0DE4"/>
    <w:rsid w:val="1DA924F8"/>
    <w:rsid w:val="1DCB13CA"/>
    <w:rsid w:val="1E3638D8"/>
    <w:rsid w:val="1EA82B87"/>
    <w:rsid w:val="1EDA7BAC"/>
    <w:rsid w:val="1EDB48F6"/>
    <w:rsid w:val="1F013D3D"/>
    <w:rsid w:val="1F5A16E2"/>
    <w:rsid w:val="1F7274CB"/>
    <w:rsid w:val="1FA90491"/>
    <w:rsid w:val="1FE42C5D"/>
    <w:rsid w:val="200120AB"/>
    <w:rsid w:val="20135D3F"/>
    <w:rsid w:val="2029286C"/>
    <w:rsid w:val="203C51F6"/>
    <w:rsid w:val="20834BC9"/>
    <w:rsid w:val="208C2AF1"/>
    <w:rsid w:val="20A71BCE"/>
    <w:rsid w:val="20DB0FC7"/>
    <w:rsid w:val="212524AD"/>
    <w:rsid w:val="21372837"/>
    <w:rsid w:val="22010376"/>
    <w:rsid w:val="22565B35"/>
    <w:rsid w:val="225E5ECB"/>
    <w:rsid w:val="22A30B88"/>
    <w:rsid w:val="22CB465C"/>
    <w:rsid w:val="235E5BD3"/>
    <w:rsid w:val="237E1A62"/>
    <w:rsid w:val="23D94ADD"/>
    <w:rsid w:val="24237618"/>
    <w:rsid w:val="248C2885"/>
    <w:rsid w:val="24C700B4"/>
    <w:rsid w:val="251C7BA5"/>
    <w:rsid w:val="26183160"/>
    <w:rsid w:val="264F1894"/>
    <w:rsid w:val="26670F3C"/>
    <w:rsid w:val="267F2628"/>
    <w:rsid w:val="269C65CD"/>
    <w:rsid w:val="26BB2F38"/>
    <w:rsid w:val="26C21637"/>
    <w:rsid w:val="26D21A86"/>
    <w:rsid w:val="26E5421A"/>
    <w:rsid w:val="271177BA"/>
    <w:rsid w:val="27842106"/>
    <w:rsid w:val="278831A0"/>
    <w:rsid w:val="27AC7058"/>
    <w:rsid w:val="27FD5A4E"/>
    <w:rsid w:val="283F34A5"/>
    <w:rsid w:val="289D7683"/>
    <w:rsid w:val="28F1772F"/>
    <w:rsid w:val="295E7232"/>
    <w:rsid w:val="295F4FF7"/>
    <w:rsid w:val="29695BDF"/>
    <w:rsid w:val="2980266E"/>
    <w:rsid w:val="29BA2150"/>
    <w:rsid w:val="29C9327E"/>
    <w:rsid w:val="2A102F78"/>
    <w:rsid w:val="2A8D60A7"/>
    <w:rsid w:val="2B667D5D"/>
    <w:rsid w:val="2C066015"/>
    <w:rsid w:val="2C1B77B7"/>
    <w:rsid w:val="2C257A6D"/>
    <w:rsid w:val="2C7E0F08"/>
    <w:rsid w:val="2C8F51FE"/>
    <w:rsid w:val="2C974788"/>
    <w:rsid w:val="2CCE1561"/>
    <w:rsid w:val="2CEF1D30"/>
    <w:rsid w:val="2D015788"/>
    <w:rsid w:val="2D4D221A"/>
    <w:rsid w:val="2D994DC5"/>
    <w:rsid w:val="2E055F32"/>
    <w:rsid w:val="2E1369A0"/>
    <w:rsid w:val="2E3F50ED"/>
    <w:rsid w:val="2E5246AF"/>
    <w:rsid w:val="2E5F6AC5"/>
    <w:rsid w:val="2EBF4A28"/>
    <w:rsid w:val="2F0E1474"/>
    <w:rsid w:val="2F4526A5"/>
    <w:rsid w:val="2F4C5BE3"/>
    <w:rsid w:val="2F5F45B9"/>
    <w:rsid w:val="2F935779"/>
    <w:rsid w:val="2FA92DF0"/>
    <w:rsid w:val="2FC425DA"/>
    <w:rsid w:val="2FE25225"/>
    <w:rsid w:val="300D0CBB"/>
    <w:rsid w:val="302275C5"/>
    <w:rsid w:val="3040621D"/>
    <w:rsid w:val="304A456B"/>
    <w:rsid w:val="30745EA1"/>
    <w:rsid w:val="307E683A"/>
    <w:rsid w:val="3096741A"/>
    <w:rsid w:val="30B85CDB"/>
    <w:rsid w:val="30EE6D7C"/>
    <w:rsid w:val="315701A9"/>
    <w:rsid w:val="315B16CD"/>
    <w:rsid w:val="31692BB0"/>
    <w:rsid w:val="31A31415"/>
    <w:rsid w:val="31F041E8"/>
    <w:rsid w:val="321B3660"/>
    <w:rsid w:val="321F2670"/>
    <w:rsid w:val="32246C6D"/>
    <w:rsid w:val="32261050"/>
    <w:rsid w:val="32C22E53"/>
    <w:rsid w:val="333F2940"/>
    <w:rsid w:val="33664B31"/>
    <w:rsid w:val="33C56399"/>
    <w:rsid w:val="33F03624"/>
    <w:rsid w:val="34204C3E"/>
    <w:rsid w:val="34273BBA"/>
    <w:rsid w:val="34707013"/>
    <w:rsid w:val="349B7620"/>
    <w:rsid w:val="34C445CB"/>
    <w:rsid w:val="34E733A0"/>
    <w:rsid w:val="34F865BF"/>
    <w:rsid w:val="35267D61"/>
    <w:rsid w:val="353C3E37"/>
    <w:rsid w:val="354C2C24"/>
    <w:rsid w:val="359C41B6"/>
    <w:rsid w:val="35DE73C7"/>
    <w:rsid w:val="35EE6E1A"/>
    <w:rsid w:val="361A470F"/>
    <w:rsid w:val="362E0ED5"/>
    <w:rsid w:val="363C211F"/>
    <w:rsid w:val="364E781E"/>
    <w:rsid w:val="36886BAC"/>
    <w:rsid w:val="37041576"/>
    <w:rsid w:val="37335349"/>
    <w:rsid w:val="373B19C1"/>
    <w:rsid w:val="37492397"/>
    <w:rsid w:val="37561B9A"/>
    <w:rsid w:val="375E3B70"/>
    <w:rsid w:val="376142D0"/>
    <w:rsid w:val="3785020A"/>
    <w:rsid w:val="378754E9"/>
    <w:rsid w:val="380C0973"/>
    <w:rsid w:val="385751AB"/>
    <w:rsid w:val="38751B47"/>
    <w:rsid w:val="3882341D"/>
    <w:rsid w:val="388E1280"/>
    <w:rsid w:val="38D9252D"/>
    <w:rsid w:val="38DA649A"/>
    <w:rsid w:val="38F43A68"/>
    <w:rsid w:val="38FD20B9"/>
    <w:rsid w:val="39363CC5"/>
    <w:rsid w:val="39486DF6"/>
    <w:rsid w:val="3949663E"/>
    <w:rsid w:val="39503415"/>
    <w:rsid w:val="395619E8"/>
    <w:rsid w:val="39695F93"/>
    <w:rsid w:val="39892F76"/>
    <w:rsid w:val="39BA7D1D"/>
    <w:rsid w:val="39E415F1"/>
    <w:rsid w:val="3AEC237C"/>
    <w:rsid w:val="3B5D790C"/>
    <w:rsid w:val="3B85139E"/>
    <w:rsid w:val="3BC74075"/>
    <w:rsid w:val="3BE51282"/>
    <w:rsid w:val="3BE73AE2"/>
    <w:rsid w:val="3BF50DFA"/>
    <w:rsid w:val="3C065AF8"/>
    <w:rsid w:val="3C4A31E6"/>
    <w:rsid w:val="3CB454FE"/>
    <w:rsid w:val="3D034F51"/>
    <w:rsid w:val="3D4A4A57"/>
    <w:rsid w:val="3DC452BD"/>
    <w:rsid w:val="3DC809D0"/>
    <w:rsid w:val="3DF57198"/>
    <w:rsid w:val="3E555C4C"/>
    <w:rsid w:val="3EFF3467"/>
    <w:rsid w:val="3F380AD4"/>
    <w:rsid w:val="3F774C4A"/>
    <w:rsid w:val="3FA85429"/>
    <w:rsid w:val="3FD35516"/>
    <w:rsid w:val="40013F9D"/>
    <w:rsid w:val="40473239"/>
    <w:rsid w:val="40BA7C74"/>
    <w:rsid w:val="40DC7C42"/>
    <w:rsid w:val="41157839"/>
    <w:rsid w:val="4137567E"/>
    <w:rsid w:val="415024A3"/>
    <w:rsid w:val="416C7797"/>
    <w:rsid w:val="419167BE"/>
    <w:rsid w:val="423F13EA"/>
    <w:rsid w:val="427C49AD"/>
    <w:rsid w:val="42984BFE"/>
    <w:rsid w:val="42B71F0B"/>
    <w:rsid w:val="42EE3B94"/>
    <w:rsid w:val="43775D2C"/>
    <w:rsid w:val="439B6D6C"/>
    <w:rsid w:val="43C50E4F"/>
    <w:rsid w:val="43D03F24"/>
    <w:rsid w:val="44873BAC"/>
    <w:rsid w:val="452A2286"/>
    <w:rsid w:val="45625647"/>
    <w:rsid w:val="45764923"/>
    <w:rsid w:val="45E70A77"/>
    <w:rsid w:val="460D6C83"/>
    <w:rsid w:val="460E1122"/>
    <w:rsid w:val="465748A0"/>
    <w:rsid w:val="466C1DF3"/>
    <w:rsid w:val="471D3B27"/>
    <w:rsid w:val="472C32E3"/>
    <w:rsid w:val="474273BE"/>
    <w:rsid w:val="47462E70"/>
    <w:rsid w:val="479A41B4"/>
    <w:rsid w:val="47D47AB2"/>
    <w:rsid w:val="47F70FDE"/>
    <w:rsid w:val="484D0887"/>
    <w:rsid w:val="48A367DA"/>
    <w:rsid w:val="48D4600C"/>
    <w:rsid w:val="48EF6ED3"/>
    <w:rsid w:val="4901034A"/>
    <w:rsid w:val="494C4E19"/>
    <w:rsid w:val="49770CBA"/>
    <w:rsid w:val="4A154BF2"/>
    <w:rsid w:val="4A2C7DBF"/>
    <w:rsid w:val="4A7615CD"/>
    <w:rsid w:val="4ACE5316"/>
    <w:rsid w:val="4AD432A6"/>
    <w:rsid w:val="4B335EF3"/>
    <w:rsid w:val="4B910A23"/>
    <w:rsid w:val="4BA04255"/>
    <w:rsid w:val="4C7B102E"/>
    <w:rsid w:val="4CDF31DE"/>
    <w:rsid w:val="4CE4271D"/>
    <w:rsid w:val="4D1C0BB9"/>
    <w:rsid w:val="4D1F0E86"/>
    <w:rsid w:val="4DA5000D"/>
    <w:rsid w:val="4DB27253"/>
    <w:rsid w:val="4E133B89"/>
    <w:rsid w:val="4E255A99"/>
    <w:rsid w:val="4E4124E9"/>
    <w:rsid w:val="4E844F29"/>
    <w:rsid w:val="4E9571FF"/>
    <w:rsid w:val="4F1E2FE3"/>
    <w:rsid w:val="4F551C94"/>
    <w:rsid w:val="4F5F0D9E"/>
    <w:rsid w:val="4F6C3456"/>
    <w:rsid w:val="4FAC14B4"/>
    <w:rsid w:val="5026095B"/>
    <w:rsid w:val="50425142"/>
    <w:rsid w:val="5070613F"/>
    <w:rsid w:val="508D2822"/>
    <w:rsid w:val="5091698C"/>
    <w:rsid w:val="50C20BBF"/>
    <w:rsid w:val="50ED25D9"/>
    <w:rsid w:val="5126002F"/>
    <w:rsid w:val="515C7F1A"/>
    <w:rsid w:val="516910DD"/>
    <w:rsid w:val="51781BB3"/>
    <w:rsid w:val="51A90013"/>
    <w:rsid w:val="520C22B6"/>
    <w:rsid w:val="52255690"/>
    <w:rsid w:val="522A0002"/>
    <w:rsid w:val="52364FBA"/>
    <w:rsid w:val="52B66606"/>
    <w:rsid w:val="52CC29E7"/>
    <w:rsid w:val="53512AA6"/>
    <w:rsid w:val="53650A88"/>
    <w:rsid w:val="536F47BF"/>
    <w:rsid w:val="5388525D"/>
    <w:rsid w:val="538F071D"/>
    <w:rsid w:val="53F64B7D"/>
    <w:rsid w:val="54055AF1"/>
    <w:rsid w:val="545469D6"/>
    <w:rsid w:val="548B4500"/>
    <w:rsid w:val="54AE15C6"/>
    <w:rsid w:val="54B23749"/>
    <w:rsid w:val="54D35C31"/>
    <w:rsid w:val="54EB7A0B"/>
    <w:rsid w:val="54EF2B5F"/>
    <w:rsid w:val="54F504F9"/>
    <w:rsid w:val="54F53280"/>
    <w:rsid w:val="55370366"/>
    <w:rsid w:val="55424CE5"/>
    <w:rsid w:val="55433373"/>
    <w:rsid w:val="55446DE4"/>
    <w:rsid w:val="55525578"/>
    <w:rsid w:val="555958E0"/>
    <w:rsid w:val="56035FD9"/>
    <w:rsid w:val="567F348B"/>
    <w:rsid w:val="57121D9A"/>
    <w:rsid w:val="571B21E9"/>
    <w:rsid w:val="57966A1F"/>
    <w:rsid w:val="57CC4D59"/>
    <w:rsid w:val="57F14BC7"/>
    <w:rsid w:val="58707934"/>
    <w:rsid w:val="58973338"/>
    <w:rsid w:val="58CB3431"/>
    <w:rsid w:val="58D1045F"/>
    <w:rsid w:val="58D32022"/>
    <w:rsid w:val="58D342DC"/>
    <w:rsid w:val="59890E63"/>
    <w:rsid w:val="598A7FD6"/>
    <w:rsid w:val="59CD45A1"/>
    <w:rsid w:val="59E72FCF"/>
    <w:rsid w:val="59ED08F3"/>
    <w:rsid w:val="5A3B1489"/>
    <w:rsid w:val="5A4356E7"/>
    <w:rsid w:val="5A4F5718"/>
    <w:rsid w:val="5A725E2F"/>
    <w:rsid w:val="5AFA228A"/>
    <w:rsid w:val="5B210C34"/>
    <w:rsid w:val="5B254654"/>
    <w:rsid w:val="5B2D6E89"/>
    <w:rsid w:val="5C271CDA"/>
    <w:rsid w:val="5C861BEC"/>
    <w:rsid w:val="5C961966"/>
    <w:rsid w:val="5CA31294"/>
    <w:rsid w:val="5CEF3EFA"/>
    <w:rsid w:val="5D0D6E8A"/>
    <w:rsid w:val="5D3370F1"/>
    <w:rsid w:val="5D77252B"/>
    <w:rsid w:val="5DC25A15"/>
    <w:rsid w:val="5DEA1104"/>
    <w:rsid w:val="5E1156A4"/>
    <w:rsid w:val="5E4E33A2"/>
    <w:rsid w:val="5E9D595B"/>
    <w:rsid w:val="5EC226A3"/>
    <w:rsid w:val="5F135743"/>
    <w:rsid w:val="5F4240B2"/>
    <w:rsid w:val="5F736704"/>
    <w:rsid w:val="5FF45694"/>
    <w:rsid w:val="602122E3"/>
    <w:rsid w:val="606C798A"/>
    <w:rsid w:val="60BB53BD"/>
    <w:rsid w:val="60F415CE"/>
    <w:rsid w:val="60F907C2"/>
    <w:rsid w:val="61520AAD"/>
    <w:rsid w:val="61652B4D"/>
    <w:rsid w:val="61657875"/>
    <w:rsid w:val="61FC0C99"/>
    <w:rsid w:val="622D41D8"/>
    <w:rsid w:val="62417983"/>
    <w:rsid w:val="62680B09"/>
    <w:rsid w:val="62772B4B"/>
    <w:rsid w:val="6292675B"/>
    <w:rsid w:val="633D665B"/>
    <w:rsid w:val="637F1A58"/>
    <w:rsid w:val="639D38BC"/>
    <w:rsid w:val="640175E7"/>
    <w:rsid w:val="643E3B6B"/>
    <w:rsid w:val="643F441D"/>
    <w:rsid w:val="644870EB"/>
    <w:rsid w:val="649D0D60"/>
    <w:rsid w:val="64BA7A84"/>
    <w:rsid w:val="65485B8A"/>
    <w:rsid w:val="655355CC"/>
    <w:rsid w:val="6567619D"/>
    <w:rsid w:val="65AE70A0"/>
    <w:rsid w:val="667609AD"/>
    <w:rsid w:val="667663EB"/>
    <w:rsid w:val="669F62B1"/>
    <w:rsid w:val="66A022E3"/>
    <w:rsid w:val="66A315CF"/>
    <w:rsid w:val="66C26D88"/>
    <w:rsid w:val="66DA42FD"/>
    <w:rsid w:val="67443A13"/>
    <w:rsid w:val="67461EEB"/>
    <w:rsid w:val="67657A2A"/>
    <w:rsid w:val="680F5F5D"/>
    <w:rsid w:val="68211AEB"/>
    <w:rsid w:val="68520869"/>
    <w:rsid w:val="688C00DA"/>
    <w:rsid w:val="689C031D"/>
    <w:rsid w:val="68A56604"/>
    <w:rsid w:val="68D3121D"/>
    <w:rsid w:val="690A5863"/>
    <w:rsid w:val="6949628F"/>
    <w:rsid w:val="69644C01"/>
    <w:rsid w:val="69740175"/>
    <w:rsid w:val="69CB0E6C"/>
    <w:rsid w:val="6A033F87"/>
    <w:rsid w:val="6A067FE7"/>
    <w:rsid w:val="6A4508EB"/>
    <w:rsid w:val="6A912530"/>
    <w:rsid w:val="6AB030D2"/>
    <w:rsid w:val="6AD5593E"/>
    <w:rsid w:val="6AEC61DB"/>
    <w:rsid w:val="6B241DDE"/>
    <w:rsid w:val="6BC62147"/>
    <w:rsid w:val="6C436F9E"/>
    <w:rsid w:val="6CAE6569"/>
    <w:rsid w:val="6CCA52B0"/>
    <w:rsid w:val="6CF450C7"/>
    <w:rsid w:val="6D1D5EB2"/>
    <w:rsid w:val="6D601E35"/>
    <w:rsid w:val="6D7C222A"/>
    <w:rsid w:val="6D97244C"/>
    <w:rsid w:val="6DBB2C1C"/>
    <w:rsid w:val="6E9048D4"/>
    <w:rsid w:val="6E975898"/>
    <w:rsid w:val="6EB773AC"/>
    <w:rsid w:val="6ECF28D0"/>
    <w:rsid w:val="6F5B7A25"/>
    <w:rsid w:val="6F5D2831"/>
    <w:rsid w:val="6F8D381D"/>
    <w:rsid w:val="6FBD4890"/>
    <w:rsid w:val="7005547A"/>
    <w:rsid w:val="703E3979"/>
    <w:rsid w:val="70834A63"/>
    <w:rsid w:val="70BC725A"/>
    <w:rsid w:val="70F84410"/>
    <w:rsid w:val="71114F33"/>
    <w:rsid w:val="71237529"/>
    <w:rsid w:val="713246E4"/>
    <w:rsid w:val="71C72B19"/>
    <w:rsid w:val="71FF5547"/>
    <w:rsid w:val="722D2F3F"/>
    <w:rsid w:val="724D0026"/>
    <w:rsid w:val="727813E6"/>
    <w:rsid w:val="72796DAF"/>
    <w:rsid w:val="72886C1B"/>
    <w:rsid w:val="73167FCE"/>
    <w:rsid w:val="73B44443"/>
    <w:rsid w:val="73CB683E"/>
    <w:rsid w:val="73D4669F"/>
    <w:rsid w:val="73DA75C4"/>
    <w:rsid w:val="741D715E"/>
    <w:rsid w:val="742B0710"/>
    <w:rsid w:val="743F0536"/>
    <w:rsid w:val="74EC4951"/>
    <w:rsid w:val="75357CD4"/>
    <w:rsid w:val="75673AC6"/>
    <w:rsid w:val="756E6A95"/>
    <w:rsid w:val="75935FB7"/>
    <w:rsid w:val="75C05E4A"/>
    <w:rsid w:val="75CD558D"/>
    <w:rsid w:val="75E41F67"/>
    <w:rsid w:val="75F410B4"/>
    <w:rsid w:val="76234838"/>
    <w:rsid w:val="765B088B"/>
    <w:rsid w:val="76C319D4"/>
    <w:rsid w:val="76FD71B7"/>
    <w:rsid w:val="774D7B3A"/>
    <w:rsid w:val="777C7C04"/>
    <w:rsid w:val="77B67AD4"/>
    <w:rsid w:val="77D954D5"/>
    <w:rsid w:val="77E54173"/>
    <w:rsid w:val="77EB62A0"/>
    <w:rsid w:val="77EC00AC"/>
    <w:rsid w:val="77ED6FD8"/>
    <w:rsid w:val="77FC5C81"/>
    <w:rsid w:val="78094346"/>
    <w:rsid w:val="780C1831"/>
    <w:rsid w:val="78834297"/>
    <w:rsid w:val="78B83B84"/>
    <w:rsid w:val="797D140F"/>
    <w:rsid w:val="79A2513E"/>
    <w:rsid w:val="79AF63A2"/>
    <w:rsid w:val="79B430E0"/>
    <w:rsid w:val="79BD520E"/>
    <w:rsid w:val="79D32EB1"/>
    <w:rsid w:val="7A5F0F85"/>
    <w:rsid w:val="7A6931F4"/>
    <w:rsid w:val="7B165BDA"/>
    <w:rsid w:val="7B493DA3"/>
    <w:rsid w:val="7B68286F"/>
    <w:rsid w:val="7B6A703D"/>
    <w:rsid w:val="7B6B1E21"/>
    <w:rsid w:val="7B7060D0"/>
    <w:rsid w:val="7B8804AB"/>
    <w:rsid w:val="7B947BDD"/>
    <w:rsid w:val="7BC81282"/>
    <w:rsid w:val="7BDB16A4"/>
    <w:rsid w:val="7C315C61"/>
    <w:rsid w:val="7C384162"/>
    <w:rsid w:val="7C4C5D34"/>
    <w:rsid w:val="7CB62703"/>
    <w:rsid w:val="7CE30BA8"/>
    <w:rsid w:val="7D0E3EE2"/>
    <w:rsid w:val="7D214D38"/>
    <w:rsid w:val="7D466D8A"/>
    <w:rsid w:val="7D556CED"/>
    <w:rsid w:val="7D9A330B"/>
    <w:rsid w:val="7DD436DB"/>
    <w:rsid w:val="7DD5587C"/>
    <w:rsid w:val="7DF35EEB"/>
    <w:rsid w:val="7E08228C"/>
    <w:rsid w:val="7E201BFF"/>
    <w:rsid w:val="7E262147"/>
    <w:rsid w:val="7ED13F53"/>
    <w:rsid w:val="7F1E7648"/>
    <w:rsid w:val="7F622685"/>
    <w:rsid w:val="7FA836CC"/>
    <w:rsid w:val="7FB0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04"/>
    <w:qFormat/>
    <w:uiPriority w:val="0"/>
    <w:pPr>
      <w:keepNext/>
      <w:keepLines/>
      <w:spacing w:line="576" w:lineRule="auto"/>
      <w:outlineLvl w:val="0"/>
    </w:pPr>
    <w:rPr>
      <w:b/>
      <w:kern w:val="44"/>
      <w:sz w:val="44"/>
    </w:rPr>
  </w:style>
  <w:style w:type="paragraph" w:styleId="4">
    <w:name w:val="heading 2"/>
    <w:basedOn w:val="1"/>
    <w:next w:val="1"/>
    <w:link w:val="288"/>
    <w:qFormat/>
    <w:uiPriority w:val="0"/>
    <w:pPr>
      <w:keepNext/>
      <w:keepLines/>
      <w:spacing w:line="415" w:lineRule="auto"/>
      <w:outlineLvl w:val="1"/>
    </w:pPr>
    <w:rPr>
      <w:rFonts w:ascii="Arial" w:hAnsi="Arial" w:eastAsia="黑体"/>
      <w:b/>
      <w:sz w:val="32"/>
    </w:rPr>
  </w:style>
  <w:style w:type="paragraph" w:styleId="5">
    <w:name w:val="heading 3"/>
    <w:basedOn w:val="1"/>
    <w:next w:val="1"/>
    <w:link w:val="263"/>
    <w:qFormat/>
    <w:uiPriority w:val="0"/>
    <w:pPr>
      <w:keepNext/>
      <w:keepLines/>
      <w:spacing w:line="415" w:lineRule="auto"/>
      <w:outlineLvl w:val="2"/>
    </w:pPr>
    <w:rPr>
      <w:b/>
      <w:sz w:val="32"/>
    </w:rPr>
  </w:style>
  <w:style w:type="paragraph" w:styleId="6">
    <w:name w:val="heading 4"/>
    <w:basedOn w:val="1"/>
    <w:next w:val="1"/>
    <w:link w:val="309"/>
    <w:qFormat/>
    <w:uiPriority w:val="0"/>
    <w:pPr>
      <w:keepNext/>
      <w:keepLines/>
      <w:adjustRightInd w:val="0"/>
      <w:spacing w:line="376" w:lineRule="atLeast"/>
      <w:outlineLvl w:val="3"/>
    </w:pPr>
    <w:rPr>
      <w:rFonts w:ascii="Arial" w:hAnsi="Arial" w:eastAsia="黑体"/>
      <w:b/>
      <w:kern w:val="0"/>
      <w:sz w:val="28"/>
    </w:rPr>
  </w:style>
  <w:style w:type="paragraph" w:styleId="7">
    <w:name w:val="heading 5"/>
    <w:basedOn w:val="1"/>
    <w:next w:val="1"/>
    <w:qFormat/>
    <w:uiPriority w:val="0"/>
    <w:pPr>
      <w:keepNext/>
      <w:keepLines/>
      <w:adjustRightInd w:val="0"/>
      <w:spacing w:line="376" w:lineRule="atLeast"/>
      <w:outlineLvl w:val="4"/>
    </w:pPr>
    <w:rPr>
      <w:b/>
      <w:kern w:val="0"/>
      <w:sz w:val="28"/>
    </w:rPr>
  </w:style>
  <w:style w:type="paragraph" w:styleId="8">
    <w:name w:val="heading 6"/>
    <w:basedOn w:val="1"/>
    <w:next w:val="1"/>
    <w:qFormat/>
    <w:uiPriority w:val="0"/>
    <w:pPr>
      <w:keepNext/>
      <w:keepLines/>
      <w:adjustRightInd w:val="0"/>
      <w:spacing w:line="320" w:lineRule="atLeast"/>
      <w:outlineLvl w:val="5"/>
    </w:pPr>
    <w:rPr>
      <w:rFonts w:ascii="Arial" w:hAnsi="Arial" w:eastAsia="黑体"/>
      <w:b/>
      <w:kern w:val="0"/>
      <w:sz w:val="24"/>
    </w:rPr>
  </w:style>
  <w:style w:type="paragraph" w:styleId="9">
    <w:name w:val="heading 7"/>
    <w:basedOn w:val="1"/>
    <w:next w:val="1"/>
    <w:qFormat/>
    <w:uiPriority w:val="0"/>
    <w:pPr>
      <w:keepNext/>
      <w:keepLines/>
      <w:adjustRightInd w:val="0"/>
      <w:spacing w:line="320" w:lineRule="atLeast"/>
      <w:outlineLvl w:val="6"/>
    </w:pPr>
    <w:rPr>
      <w:b/>
      <w:kern w:val="0"/>
      <w:sz w:val="24"/>
    </w:rPr>
  </w:style>
  <w:style w:type="paragraph" w:styleId="10">
    <w:name w:val="heading 8"/>
    <w:basedOn w:val="1"/>
    <w:next w:val="1"/>
    <w:qFormat/>
    <w:uiPriority w:val="0"/>
    <w:pPr>
      <w:keepNext/>
      <w:keepLines/>
      <w:adjustRightInd w:val="0"/>
      <w:spacing w:line="320" w:lineRule="atLeast"/>
      <w:outlineLvl w:val="7"/>
    </w:pPr>
    <w:rPr>
      <w:rFonts w:ascii="Arial" w:hAnsi="Arial" w:eastAsia="黑体"/>
      <w:kern w:val="0"/>
      <w:sz w:val="24"/>
    </w:rPr>
  </w:style>
  <w:style w:type="paragraph" w:styleId="11">
    <w:name w:val="heading 9"/>
    <w:basedOn w:val="1"/>
    <w:next w:val="1"/>
    <w:qFormat/>
    <w:uiPriority w:val="0"/>
    <w:pPr>
      <w:keepNext/>
      <w:keepLines/>
      <w:adjustRightInd w:val="0"/>
      <w:spacing w:line="320" w:lineRule="atLeast"/>
      <w:outlineLvl w:val="8"/>
    </w:pPr>
    <w:rPr>
      <w:rFonts w:ascii="Arial" w:hAnsi="Arial" w:eastAsia="黑体"/>
      <w:kern w:val="0"/>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b/>
      <w:sz w:val="28"/>
    </w:rPr>
  </w:style>
  <w:style w:type="paragraph" w:styleId="12">
    <w:name w:val="toc 7"/>
    <w:basedOn w:val="1"/>
    <w:next w:val="1"/>
    <w:qFormat/>
    <w:uiPriority w:val="0"/>
    <w:pPr>
      <w:ind w:left="1260"/>
      <w:jc w:val="left"/>
    </w:pPr>
    <w:rPr>
      <w:sz w:val="18"/>
      <w:szCs w:val="18"/>
    </w:rPr>
  </w:style>
  <w:style w:type="paragraph" w:styleId="13">
    <w:name w:val="table of authorities"/>
    <w:next w:val="1"/>
    <w:qFormat/>
    <w:uiPriority w:val="99"/>
    <w:pPr>
      <w:widowControl/>
      <w:ind w:left="420" w:leftChars="200"/>
      <w:jc w:val="left"/>
    </w:pPr>
    <w:rPr>
      <w:rFonts w:ascii="Calibri" w:hAnsi="Calibri" w:eastAsia="宋体" w:cs="Times New Roman"/>
      <w:kern w:val="2"/>
      <w:sz w:val="21"/>
      <w:szCs w:val="24"/>
      <w:lang w:val="en-US" w:eastAsia="zh-CN" w:bidi="ar-SA"/>
    </w:rPr>
  </w:style>
  <w:style w:type="paragraph" w:styleId="14">
    <w:name w:val="Normal Indent"/>
    <w:basedOn w:val="1"/>
    <w:qFormat/>
    <w:uiPriority w:val="0"/>
    <w:pPr>
      <w:ind w:firstLine="420"/>
    </w:pPr>
  </w:style>
  <w:style w:type="paragraph" w:styleId="15">
    <w:name w:val="caption"/>
    <w:basedOn w:val="1"/>
    <w:next w:val="1"/>
    <w:qFormat/>
    <w:uiPriority w:val="0"/>
    <w:pPr>
      <w:spacing w:before="120" w:after="120"/>
    </w:pPr>
    <w:rPr>
      <w:b/>
      <w:szCs w:val="24"/>
    </w:rPr>
  </w:style>
  <w:style w:type="paragraph" w:styleId="16">
    <w:name w:val="Document Map"/>
    <w:basedOn w:val="1"/>
    <w:qFormat/>
    <w:uiPriority w:val="0"/>
    <w:pPr>
      <w:shd w:val="clear" w:color="auto" w:fill="000080"/>
    </w:pPr>
  </w:style>
  <w:style w:type="paragraph" w:styleId="17">
    <w:name w:val="annotation text"/>
    <w:basedOn w:val="1"/>
    <w:semiHidden/>
    <w:qFormat/>
    <w:uiPriority w:val="0"/>
    <w:pPr>
      <w:jc w:val="left"/>
    </w:pPr>
  </w:style>
  <w:style w:type="paragraph" w:styleId="18">
    <w:name w:val="Salutation"/>
    <w:basedOn w:val="1"/>
    <w:next w:val="1"/>
    <w:link w:val="281"/>
    <w:qFormat/>
    <w:uiPriority w:val="0"/>
  </w:style>
  <w:style w:type="paragraph" w:styleId="19">
    <w:name w:val="Body Text 3"/>
    <w:basedOn w:val="1"/>
    <w:qFormat/>
    <w:uiPriority w:val="0"/>
    <w:rPr>
      <w:sz w:val="16"/>
    </w:rPr>
  </w:style>
  <w:style w:type="paragraph" w:styleId="20">
    <w:name w:val="List Bullet 3"/>
    <w:basedOn w:val="1"/>
    <w:qFormat/>
    <w:uiPriority w:val="0"/>
    <w:pPr>
      <w:numPr>
        <w:ilvl w:val="0"/>
        <w:numId w:val="1"/>
      </w:numPr>
      <w:tabs>
        <w:tab w:val="left" w:pos="720"/>
      </w:tabs>
      <w:ind w:left="720" w:hanging="720"/>
      <w:outlineLvl w:val="0"/>
    </w:pPr>
    <w:rPr>
      <w:color w:val="0000FF"/>
      <w:sz w:val="24"/>
    </w:rPr>
  </w:style>
  <w:style w:type="paragraph" w:styleId="21">
    <w:name w:val="Body Text Indent"/>
    <w:basedOn w:val="1"/>
    <w:link w:val="283"/>
    <w:qFormat/>
    <w:uiPriority w:val="0"/>
    <w:pPr>
      <w:ind w:left="1083" w:leftChars="30" w:hanging="1020" w:hangingChars="425"/>
    </w:pPr>
    <w:rPr>
      <w:rFonts w:ascii="宋体" w:hAnsi="宋体"/>
      <w:sz w:val="24"/>
    </w:rPr>
  </w:style>
  <w:style w:type="paragraph" w:styleId="22">
    <w:name w:val="List 2"/>
    <w:basedOn w:val="1"/>
    <w:qFormat/>
    <w:uiPriority w:val="0"/>
    <w:pPr>
      <w:ind w:left="100" w:leftChars="200" w:hanging="200" w:hangingChars="200"/>
    </w:pPr>
    <w:rPr>
      <w:szCs w:val="24"/>
    </w:r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39"/>
    <w:pPr>
      <w:ind w:left="420"/>
      <w:jc w:val="left"/>
    </w:pPr>
    <w:rPr>
      <w:i/>
      <w:iCs/>
      <w:sz w:val="20"/>
    </w:rPr>
  </w:style>
  <w:style w:type="paragraph" w:styleId="25">
    <w:name w:val="Plain Text"/>
    <w:basedOn w:val="1"/>
    <w:link w:val="313"/>
    <w:qFormat/>
    <w:uiPriority w:val="0"/>
    <w:rPr>
      <w:rFonts w:ascii="宋体" w:hAnsi="Courier New"/>
      <w:sz w:val="24"/>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pPr>
      <w:ind w:left="100" w:leftChars="2500"/>
    </w:pPr>
    <w:rPr>
      <w:b/>
      <w:sz w:val="36"/>
    </w:rPr>
  </w:style>
  <w:style w:type="paragraph" w:styleId="28">
    <w:name w:val="Body Text Indent 2"/>
    <w:basedOn w:val="1"/>
    <w:qFormat/>
    <w:uiPriority w:val="0"/>
    <w:pPr>
      <w:spacing w:line="360" w:lineRule="auto"/>
      <w:ind w:firstLine="480" w:firstLineChars="200"/>
    </w:pPr>
    <w:rPr>
      <w:rFonts w:ascii="幼圆" w:hAnsi="宋体" w:eastAsia="幼圆"/>
      <w:color w:val="FF0000"/>
      <w:sz w:val="24"/>
    </w:rPr>
  </w:style>
  <w:style w:type="paragraph" w:styleId="29">
    <w:name w:val="Balloon Text"/>
    <w:basedOn w:val="1"/>
    <w:qFormat/>
    <w:uiPriority w:val="0"/>
    <w:rPr>
      <w:sz w:val="18"/>
    </w:rPr>
  </w:style>
  <w:style w:type="paragraph" w:styleId="30">
    <w:name w:val="footer"/>
    <w:basedOn w:val="1"/>
    <w:link w:val="261"/>
    <w:qFormat/>
    <w:uiPriority w:val="0"/>
    <w:pPr>
      <w:tabs>
        <w:tab w:val="center" w:pos="4153"/>
        <w:tab w:val="right" w:pos="8306"/>
      </w:tabs>
      <w:snapToGrid w:val="0"/>
      <w:jc w:val="left"/>
    </w:pPr>
    <w:rPr>
      <w:sz w:val="18"/>
    </w:rPr>
  </w:style>
  <w:style w:type="paragraph" w:styleId="31">
    <w:name w:val="header"/>
    <w:basedOn w:val="1"/>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32">
    <w:name w:val="toc 1"/>
    <w:basedOn w:val="1"/>
    <w:next w:val="1"/>
    <w:qFormat/>
    <w:uiPriority w:val="39"/>
    <w:pPr>
      <w:jc w:val="left"/>
    </w:pPr>
    <w:rPr>
      <w:b/>
      <w:bCs/>
      <w:caps/>
      <w:sz w:val="20"/>
    </w:rPr>
  </w:style>
  <w:style w:type="paragraph" w:styleId="33">
    <w:name w:val="toc 4"/>
    <w:basedOn w:val="1"/>
    <w:next w:val="1"/>
    <w:qFormat/>
    <w:uiPriority w:val="0"/>
    <w:pPr>
      <w:ind w:left="630"/>
      <w:jc w:val="left"/>
    </w:pPr>
    <w:rPr>
      <w:sz w:val="18"/>
      <w:szCs w:val="18"/>
    </w:rPr>
  </w:style>
  <w:style w:type="paragraph" w:styleId="34">
    <w:name w:val="footnote text"/>
    <w:basedOn w:val="1"/>
    <w:link w:val="280"/>
    <w:qFormat/>
    <w:uiPriority w:val="0"/>
    <w:pPr>
      <w:snapToGrid w:val="0"/>
      <w:jc w:val="left"/>
    </w:pPr>
    <w:rPr>
      <w:rFonts w:ascii="宋体" w:hAnsi="宋体" w:eastAsia="新宋体"/>
      <w:kern w:val="0"/>
      <w:sz w:val="18"/>
      <w:szCs w:val="22"/>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ind w:left="420" w:leftChars="200"/>
    </w:pPr>
    <w:rPr>
      <w:sz w:val="16"/>
    </w:rPr>
  </w:style>
  <w:style w:type="paragraph" w:styleId="37">
    <w:name w:val="toc 2"/>
    <w:basedOn w:val="1"/>
    <w:next w:val="1"/>
    <w:qFormat/>
    <w:uiPriority w:val="39"/>
    <w:pPr>
      <w:ind w:left="210"/>
      <w:jc w:val="left"/>
    </w:pPr>
    <w:rPr>
      <w:smallCaps/>
      <w:sz w:val="20"/>
    </w:rPr>
  </w:style>
  <w:style w:type="paragraph" w:styleId="38">
    <w:name w:val="toc 9"/>
    <w:basedOn w:val="1"/>
    <w:next w:val="1"/>
    <w:qFormat/>
    <w:uiPriority w:val="0"/>
    <w:pPr>
      <w:ind w:left="1680"/>
      <w:jc w:val="left"/>
    </w:pPr>
    <w:rPr>
      <w:sz w:val="18"/>
      <w:szCs w:val="18"/>
    </w:rPr>
  </w:style>
  <w:style w:type="paragraph" w:styleId="39">
    <w:name w:val="Body Text 2"/>
    <w:basedOn w:val="1"/>
    <w:qFormat/>
    <w:uiPriority w:val="0"/>
    <w:pPr>
      <w:spacing w:line="360" w:lineRule="auto"/>
    </w:pPr>
    <w:rPr>
      <w:rFonts w:ascii="幼圆" w:eastAsia="幼圆"/>
      <w:sz w:val="24"/>
      <w:u w:val="single"/>
    </w:rPr>
  </w:style>
  <w:style w:type="paragraph" w:styleId="40">
    <w:name w:val="HTML Preformatted"/>
    <w:basedOn w:val="1"/>
    <w:qFormat/>
    <w:uiPriority w:val="0"/>
    <w:rPr>
      <w:rFonts w:ascii="Courier New" w:hAnsi="Courier New"/>
      <w:sz w:val="20"/>
    </w:rPr>
  </w:style>
  <w:style w:type="paragraph" w:styleId="41">
    <w:name w:val="Normal (Web)"/>
    <w:basedOn w:val="1"/>
    <w:qFormat/>
    <w:uiPriority w:val="0"/>
    <w:pPr>
      <w:widowControl/>
      <w:spacing w:beforeAutospacing="1" w:afterAutospacing="1"/>
      <w:jc w:val="left"/>
    </w:pPr>
    <w:rPr>
      <w:rFonts w:ascii="宋体" w:hAnsi="宋体"/>
      <w:kern w:val="0"/>
      <w:sz w:val="24"/>
    </w:rPr>
  </w:style>
  <w:style w:type="paragraph" w:styleId="42">
    <w:name w:val="index 1"/>
    <w:basedOn w:val="1"/>
    <w:next w:val="1"/>
    <w:qFormat/>
    <w:uiPriority w:val="0"/>
  </w:style>
  <w:style w:type="paragraph" w:styleId="43">
    <w:name w:val="Title"/>
    <w:basedOn w:val="1"/>
    <w:next w:val="1"/>
    <w:link w:val="293"/>
    <w:qFormat/>
    <w:uiPriority w:val="0"/>
    <w:pPr>
      <w:jc w:val="center"/>
      <w:outlineLvl w:val="0"/>
    </w:pPr>
    <w:rPr>
      <w:rFonts w:ascii="Cambria" w:hAnsi="Cambria"/>
      <w:b/>
      <w:sz w:val="32"/>
    </w:rPr>
  </w:style>
  <w:style w:type="paragraph" w:styleId="44">
    <w:name w:val="annotation subject"/>
    <w:basedOn w:val="17"/>
    <w:next w:val="17"/>
    <w:semiHidden/>
    <w:qFormat/>
    <w:uiPriority w:val="0"/>
    <w:rPr>
      <w:b/>
      <w:bCs/>
    </w:rPr>
  </w:style>
  <w:style w:type="paragraph" w:styleId="45">
    <w:name w:val="Body Text First Indent"/>
    <w:basedOn w:val="2"/>
    <w:qFormat/>
    <w:uiPriority w:val="0"/>
    <w:pPr>
      <w:adjustRightInd w:val="0"/>
      <w:ind w:firstLine="420"/>
      <w:jc w:val="left"/>
      <w:textAlignment w:val="baseline"/>
    </w:pPr>
    <w:rPr>
      <w:b w:val="0"/>
      <w:kern w:val="0"/>
      <w:sz w:val="21"/>
    </w:rPr>
  </w:style>
  <w:style w:type="paragraph" w:styleId="46">
    <w:name w:val="Body Text First Indent 2"/>
    <w:basedOn w:val="21"/>
    <w:link w:val="282"/>
    <w:qFormat/>
    <w:uiPriority w:val="0"/>
    <w:pPr>
      <w:spacing w:after="120"/>
      <w:ind w:left="420" w:leftChars="200" w:firstLine="420" w:firstLineChars="200"/>
    </w:pPr>
    <w:rPr>
      <w:rFonts w:ascii="Times New Roman" w:hAnsi="Times New Roman"/>
      <w:sz w:val="21"/>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qFormat/>
    <w:uiPriority w:val="22"/>
    <w:rPr>
      <w:b/>
    </w:rPr>
  </w:style>
  <w:style w:type="character" w:styleId="51">
    <w:name w:val="page number"/>
    <w:basedOn w:val="49"/>
    <w:qFormat/>
    <w:uiPriority w:val="0"/>
  </w:style>
  <w:style w:type="character" w:styleId="52">
    <w:name w:val="FollowedHyperlink"/>
    <w:basedOn w:val="49"/>
    <w:qFormat/>
    <w:uiPriority w:val="0"/>
    <w:rPr>
      <w:color w:val="333333"/>
      <w:u w:val="none"/>
    </w:rPr>
  </w:style>
  <w:style w:type="character" w:styleId="53">
    <w:name w:val="Emphasis"/>
    <w:basedOn w:val="49"/>
    <w:qFormat/>
    <w:uiPriority w:val="0"/>
  </w:style>
  <w:style w:type="character" w:styleId="54">
    <w:name w:val="HTML Definition"/>
    <w:basedOn w:val="49"/>
    <w:qFormat/>
    <w:uiPriority w:val="0"/>
  </w:style>
  <w:style w:type="character" w:styleId="55">
    <w:name w:val="HTML Acronym"/>
    <w:basedOn w:val="49"/>
    <w:qFormat/>
    <w:uiPriority w:val="0"/>
  </w:style>
  <w:style w:type="character" w:styleId="56">
    <w:name w:val="HTML Variable"/>
    <w:basedOn w:val="49"/>
    <w:qFormat/>
    <w:uiPriority w:val="0"/>
  </w:style>
  <w:style w:type="character" w:styleId="57">
    <w:name w:val="Hyperlink"/>
    <w:basedOn w:val="49"/>
    <w:qFormat/>
    <w:uiPriority w:val="99"/>
    <w:rPr>
      <w:color w:val="333333"/>
      <w:u w:val="none"/>
    </w:rPr>
  </w:style>
  <w:style w:type="character" w:styleId="58">
    <w:name w:val="HTML Code"/>
    <w:basedOn w:val="49"/>
    <w:qFormat/>
    <w:uiPriority w:val="0"/>
    <w:rPr>
      <w:rFonts w:ascii="Consolas" w:hAnsi="Consolas" w:eastAsia="Consolas" w:cs="Consolas"/>
      <w:color w:val="C7254E"/>
      <w:sz w:val="21"/>
      <w:szCs w:val="21"/>
      <w:shd w:val="clear" w:color="auto" w:fill="F9F2F4"/>
    </w:rPr>
  </w:style>
  <w:style w:type="character" w:styleId="59">
    <w:name w:val="annotation reference"/>
    <w:semiHidden/>
    <w:qFormat/>
    <w:uiPriority w:val="0"/>
    <w:rPr>
      <w:sz w:val="21"/>
      <w:szCs w:val="21"/>
    </w:rPr>
  </w:style>
  <w:style w:type="character" w:styleId="60">
    <w:name w:val="HTML Cite"/>
    <w:basedOn w:val="49"/>
    <w:qFormat/>
    <w:uiPriority w:val="0"/>
  </w:style>
  <w:style w:type="character" w:styleId="61">
    <w:name w:val="footnote reference"/>
    <w:basedOn w:val="49"/>
    <w:qFormat/>
    <w:uiPriority w:val="0"/>
    <w:rPr>
      <w:rFonts w:cs="Times New Roman"/>
      <w:vertAlign w:val="superscript"/>
    </w:rPr>
  </w:style>
  <w:style w:type="character" w:styleId="62">
    <w:name w:val="HTML Keyboard"/>
    <w:basedOn w:val="49"/>
    <w:qFormat/>
    <w:uiPriority w:val="0"/>
    <w:rPr>
      <w:rFonts w:hint="default" w:ascii="Consolas" w:hAnsi="Consolas" w:eastAsia="Consolas" w:cs="Consolas"/>
      <w:color w:val="FFFFFF"/>
      <w:sz w:val="21"/>
      <w:szCs w:val="21"/>
      <w:shd w:val="clear" w:color="auto" w:fill="333333"/>
    </w:rPr>
  </w:style>
  <w:style w:type="character" w:styleId="63">
    <w:name w:val="HTML Sample"/>
    <w:basedOn w:val="49"/>
    <w:qFormat/>
    <w:uiPriority w:val="0"/>
    <w:rPr>
      <w:rFonts w:hint="default" w:ascii="Consolas" w:hAnsi="Consolas" w:eastAsia="Consolas" w:cs="Consolas"/>
      <w:sz w:val="21"/>
      <w:szCs w:val="21"/>
    </w:rPr>
  </w:style>
  <w:style w:type="paragraph" w:customStyle="1" w:styleId="64">
    <w:name w:val="Titel 2"/>
    <w:basedOn w:val="1"/>
    <w:qFormat/>
    <w:uiPriority w:val="0"/>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65">
    <w:name w:val="xl5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kern w:val="0"/>
      <w:sz w:val="22"/>
    </w:rPr>
  </w:style>
  <w:style w:type="paragraph" w:customStyle="1" w:styleId="6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67">
    <w:name w:val="xl7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w:hAnsi="Arial"/>
      <w:kern w:val="0"/>
      <w:sz w:val="20"/>
    </w:rPr>
  </w:style>
  <w:style w:type="paragraph" w:customStyle="1" w:styleId="68">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69">
    <w:name w:val="章标题"/>
    <w:next w:val="1"/>
    <w:qFormat/>
    <w:uiPriority w:val="0"/>
    <w:pPr>
      <w:numPr>
        <w:ilvl w:val="1"/>
        <w:numId w:val="2"/>
      </w:numPr>
      <w:spacing w:before="50" w:after="50" w:line="360" w:lineRule="auto"/>
      <w:jc w:val="both"/>
      <w:outlineLvl w:val="1"/>
    </w:pPr>
    <w:rPr>
      <w:rFonts w:ascii="黑体" w:hAnsi="Times New Roman" w:eastAsia="黑体" w:cs="Times New Roman"/>
      <w:sz w:val="21"/>
      <w:lang w:val="en-US" w:eastAsia="zh-CN" w:bidi="ar-SA"/>
    </w:rPr>
  </w:style>
  <w:style w:type="paragraph" w:customStyle="1" w:styleId="70">
    <w:name w:val="一级条标题"/>
    <w:basedOn w:val="69"/>
    <w:next w:val="71"/>
    <w:qFormat/>
    <w:uiPriority w:val="0"/>
    <w:pPr>
      <w:numPr>
        <w:ilvl w:val="2"/>
        <w:numId w:val="3"/>
      </w:numPr>
      <w:spacing w:before="0" w:after="0" w:line="240" w:lineRule="auto"/>
      <w:outlineLvl w:val="2"/>
    </w:pPr>
  </w:style>
  <w:style w:type="paragraph" w:customStyle="1" w:styleId="71">
    <w:name w:val="段"/>
    <w:next w:val="1"/>
    <w:qFormat/>
    <w:uiPriority w:val="0"/>
    <w:pPr>
      <w:numPr>
        <w:ilvl w:val="0"/>
        <w:numId w:val="4"/>
      </w:numPr>
      <w:tabs>
        <w:tab w:val="left" w:pos="1395"/>
      </w:tabs>
      <w:autoSpaceDE w:val="0"/>
      <w:autoSpaceDN w:val="0"/>
      <w:ind w:left="0" w:firstLine="425"/>
      <w:jc w:val="both"/>
    </w:pPr>
    <w:rPr>
      <w:rFonts w:ascii="宋体" w:hAnsi="Times New Roman" w:eastAsia="宋体" w:cs="Times New Roman"/>
      <w:sz w:val="21"/>
      <w:lang w:val="en-US" w:eastAsia="zh-CN" w:bidi="ar-SA"/>
    </w:rPr>
  </w:style>
  <w:style w:type="paragraph" w:customStyle="1" w:styleId="72">
    <w:name w:val="NICMAN Body Text"/>
    <w:basedOn w:val="1"/>
    <w:next w:val="2"/>
    <w:qFormat/>
    <w:uiPriority w:val="0"/>
    <w:pPr>
      <w:spacing w:after="120" w:line="400" w:lineRule="exact"/>
      <w:ind w:firstLine="454"/>
    </w:pPr>
    <w:rPr>
      <w:sz w:val="24"/>
    </w:rPr>
  </w:style>
  <w:style w:type="paragraph" w:customStyle="1" w:styleId="73">
    <w:name w:val="_Style 83"/>
    <w:basedOn w:val="1"/>
    <w:qFormat/>
    <w:uiPriority w:val="0"/>
  </w:style>
  <w:style w:type="paragraph" w:customStyle="1" w:styleId="74">
    <w:name w:val="样式 标题 1 + 四号 居中 段前: 12 磅 段后: 12 磅 行距: 单倍行距"/>
    <w:basedOn w:val="3"/>
    <w:qFormat/>
    <w:uiPriority w:val="0"/>
    <w:pPr>
      <w:tabs>
        <w:tab w:val="left" w:pos="425"/>
      </w:tabs>
      <w:adjustRightInd w:val="0"/>
      <w:spacing w:before="240" w:after="240" w:line="240" w:lineRule="auto"/>
      <w:ind w:left="425" w:hanging="425"/>
      <w:jc w:val="center"/>
      <w:textAlignment w:val="baseline"/>
    </w:pPr>
    <w:rPr>
      <w:sz w:val="28"/>
    </w:rPr>
  </w:style>
  <w:style w:type="paragraph" w:customStyle="1" w:styleId="75">
    <w:name w:val="xl5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kern w:val="0"/>
      <w:sz w:val="24"/>
    </w:rPr>
  </w:style>
  <w:style w:type="paragraph" w:customStyle="1" w:styleId="76">
    <w:name w:val="xl77"/>
    <w:basedOn w:val="1"/>
    <w:qFormat/>
    <w:uiPriority w:val="0"/>
    <w:pPr>
      <w:widowControl/>
      <w:pBdr>
        <w:top w:val="single" w:color="auto" w:sz="4" w:space="0"/>
        <w:left w:val="single" w:color="auto" w:sz="4" w:space="0"/>
        <w:bottom w:val="single" w:color="auto" w:sz="4" w:space="0"/>
      </w:pBdr>
      <w:spacing w:beforeAutospacing="1" w:afterAutospacing="1"/>
      <w:jc w:val="left"/>
      <w:textAlignment w:val="center"/>
    </w:pPr>
    <w:rPr>
      <w:rFonts w:ascii="Arial" w:hAnsi="Arial"/>
      <w:kern w:val="0"/>
      <w:sz w:val="22"/>
    </w:rPr>
  </w:style>
  <w:style w:type="paragraph" w:customStyle="1" w:styleId="77">
    <w:name w:val="xl2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4"/>
    </w:rPr>
  </w:style>
  <w:style w:type="paragraph" w:customStyle="1" w:styleId="78">
    <w:name w:val="xl5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rPr>
  </w:style>
  <w:style w:type="paragraph" w:customStyle="1" w:styleId="79">
    <w:name w:val="xl79"/>
    <w:basedOn w:val="1"/>
    <w:qFormat/>
    <w:uiPriority w:val="0"/>
    <w:pPr>
      <w:widowControl/>
      <w:pBdr>
        <w:top w:val="single" w:color="auto" w:sz="4" w:space="0"/>
        <w:left w:val="single" w:color="auto" w:sz="4" w:space="0"/>
        <w:right w:val="single" w:color="auto" w:sz="4" w:space="0"/>
      </w:pBdr>
      <w:spacing w:beforeAutospacing="1" w:afterAutospacing="1"/>
      <w:jc w:val="center"/>
      <w:textAlignment w:val="center"/>
    </w:pPr>
    <w:rPr>
      <w:rFonts w:ascii="宋体" w:hAnsi="宋体"/>
      <w:kern w:val="0"/>
      <w:sz w:val="24"/>
    </w:rPr>
  </w:style>
  <w:style w:type="paragraph" w:customStyle="1" w:styleId="8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1">
    <w:name w:val="xl64"/>
    <w:basedOn w:val="1"/>
    <w:qFormat/>
    <w:uiPriority w:val="0"/>
    <w:pPr>
      <w:widowControl/>
      <w:pBdr>
        <w:top w:val="single" w:color="auto" w:sz="4" w:space="0"/>
        <w:left w:val="single" w:color="auto" w:sz="4" w:space="0"/>
        <w:bottom w:val="single" w:color="auto" w:sz="4" w:space="0"/>
      </w:pBdr>
      <w:spacing w:beforeAutospacing="1" w:afterAutospacing="1"/>
      <w:jc w:val="left"/>
      <w:textAlignment w:val="center"/>
    </w:pPr>
    <w:rPr>
      <w:rFonts w:ascii="Arial" w:hAnsi="Arial"/>
      <w:kern w:val="0"/>
      <w:sz w:val="22"/>
    </w:rPr>
  </w:style>
  <w:style w:type="paragraph" w:customStyle="1" w:styleId="8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3">
    <w:name w:val="正文首行缩进:  2 字符"/>
    <w:basedOn w:val="1"/>
    <w:qFormat/>
    <w:uiPriority w:val="0"/>
    <w:pPr>
      <w:widowControl/>
      <w:spacing w:line="360" w:lineRule="auto"/>
      <w:ind w:firstLine="482" w:firstLineChars="200"/>
      <w:jc w:val="left"/>
    </w:pPr>
    <w:rPr>
      <w:rFonts w:ascii="Arial" w:hAnsi="Arial" w:cs="宋体"/>
      <w:kern w:val="0"/>
      <w:sz w:val="24"/>
    </w:rPr>
  </w:style>
  <w:style w:type="paragraph" w:styleId="84">
    <w:name w:val="List Paragraph"/>
    <w:basedOn w:val="1"/>
    <w:qFormat/>
    <w:uiPriority w:val="0"/>
    <w:pPr>
      <w:ind w:firstLine="420" w:firstLineChars="200"/>
    </w:pPr>
    <w:rPr>
      <w:szCs w:val="21"/>
    </w:rPr>
  </w:style>
  <w:style w:type="paragraph" w:customStyle="1" w:styleId="85">
    <w:name w:val="表格文字"/>
    <w:basedOn w:val="1"/>
    <w:qFormat/>
    <w:uiPriority w:val="0"/>
    <w:pPr>
      <w:spacing w:beforeLines="5" w:afterLines="5" w:line="200" w:lineRule="atLeast"/>
      <w:ind w:left="10" w:leftChars="10"/>
      <w:jc w:val="left"/>
    </w:pPr>
    <w:rPr>
      <w:rFonts w:ascii="宋体" w:hAnsi="宋体"/>
      <w:color w:val="000000"/>
      <w:sz w:val="20"/>
    </w:rPr>
  </w:style>
  <w:style w:type="paragraph" w:customStyle="1" w:styleId="8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rPr>
  </w:style>
  <w:style w:type="paragraph" w:customStyle="1" w:styleId="87">
    <w:name w:val="xl78"/>
    <w:basedOn w:val="1"/>
    <w:qFormat/>
    <w:uiPriority w:val="0"/>
    <w:pPr>
      <w:widowControl/>
      <w:pBdr>
        <w:top w:val="single" w:color="auto" w:sz="4" w:space="0"/>
        <w:left w:val="double" w:color="auto" w:sz="6" w:space="0"/>
        <w:bottom w:val="single" w:color="auto" w:sz="4" w:space="0"/>
        <w:right w:val="single" w:color="auto" w:sz="4" w:space="0"/>
      </w:pBdr>
      <w:spacing w:beforeAutospacing="1" w:afterAutospacing="1"/>
      <w:jc w:val="center"/>
      <w:textAlignment w:val="center"/>
    </w:pPr>
    <w:rPr>
      <w:rFonts w:ascii="Arial" w:hAnsi="Arial"/>
      <w:kern w:val="0"/>
      <w:sz w:val="22"/>
    </w:rPr>
  </w:style>
  <w:style w:type="paragraph" w:customStyle="1" w:styleId="88">
    <w:name w:val="xl71"/>
    <w:basedOn w:val="1"/>
    <w:qFormat/>
    <w:uiPriority w:val="0"/>
    <w:pPr>
      <w:widowControl/>
      <w:spacing w:beforeAutospacing="1" w:afterAutospacing="1"/>
      <w:jc w:val="left"/>
      <w:textAlignment w:val="center"/>
    </w:pPr>
    <w:rPr>
      <w:rFonts w:ascii="Arial" w:hAnsi="Arial"/>
      <w:kern w:val="0"/>
      <w:sz w:val="24"/>
    </w:rPr>
  </w:style>
  <w:style w:type="paragraph" w:customStyle="1" w:styleId="89">
    <w:name w:val="大标题"/>
    <w:basedOn w:val="1"/>
    <w:qFormat/>
    <w:uiPriority w:val="0"/>
    <w:pPr>
      <w:spacing w:line="600" w:lineRule="exact"/>
      <w:ind w:left="340" w:right="340"/>
      <w:jc w:val="center"/>
    </w:pPr>
    <w:rPr>
      <w:sz w:val="44"/>
    </w:rPr>
  </w:style>
  <w:style w:type="paragraph" w:customStyle="1" w:styleId="90">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91">
    <w:name w:val="xl5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w:hAnsi="Arial"/>
      <w:kern w:val="0"/>
      <w:sz w:val="22"/>
    </w:rPr>
  </w:style>
  <w:style w:type="paragraph" w:customStyle="1" w:styleId="92">
    <w:name w:val="Char Char1 Char Char Char Char Char Char"/>
    <w:basedOn w:val="1"/>
    <w:qFormat/>
    <w:uiPriority w:val="0"/>
    <w:pPr>
      <w:widowControl/>
      <w:spacing w:line="240" w:lineRule="exact"/>
      <w:jc w:val="left"/>
    </w:pPr>
    <w:rPr>
      <w:rFonts w:ascii="Verdana" w:hAnsi="Verdana" w:eastAsia="仿宋_GB2312"/>
      <w:kern w:val="0"/>
      <w:sz w:val="24"/>
      <w:lang w:eastAsia="en-US"/>
    </w:rPr>
  </w:style>
  <w:style w:type="paragraph" w:customStyle="1" w:styleId="93">
    <w:name w:val="xl5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textAlignment w:val="center"/>
    </w:pPr>
    <w:rPr>
      <w:rFonts w:ascii="宋体" w:hAnsi="宋体"/>
      <w:kern w:val="0"/>
      <w:sz w:val="24"/>
    </w:rPr>
  </w:style>
  <w:style w:type="paragraph" w:customStyle="1" w:styleId="94">
    <w:name w:val="列出段落1"/>
    <w:basedOn w:val="1"/>
    <w:qFormat/>
    <w:uiPriority w:val="34"/>
    <w:pPr>
      <w:ind w:firstLine="420" w:firstLineChars="200"/>
    </w:pPr>
    <w:rPr>
      <w:rFonts w:ascii="Calibri" w:hAnsi="Calibri"/>
      <w:szCs w:val="22"/>
    </w:rPr>
  </w:style>
  <w:style w:type="paragraph" w:customStyle="1" w:styleId="95">
    <w:name w:val="xl81"/>
    <w:basedOn w:val="1"/>
    <w:qFormat/>
    <w:uiPriority w:val="0"/>
    <w:pPr>
      <w:widowControl/>
      <w:spacing w:beforeAutospacing="1" w:afterAutospacing="1"/>
      <w:jc w:val="center"/>
      <w:textAlignment w:val="center"/>
    </w:pPr>
    <w:rPr>
      <w:rFonts w:ascii="宋体" w:hAnsi="宋体"/>
      <w:b/>
      <w:kern w:val="0"/>
      <w:sz w:val="44"/>
    </w:rPr>
  </w:style>
  <w:style w:type="paragraph" w:customStyle="1" w:styleId="96">
    <w:name w:val="标题3"/>
    <w:basedOn w:val="5"/>
    <w:qFormat/>
    <w:uiPriority w:val="0"/>
    <w:pPr>
      <w:spacing w:line="416" w:lineRule="auto"/>
    </w:pPr>
    <w:rPr>
      <w:rFonts w:ascii="宋体" w:hAnsi="宋体"/>
      <w:bCs/>
      <w:sz w:val="28"/>
      <w:szCs w:val="28"/>
    </w:rPr>
  </w:style>
  <w:style w:type="paragraph" w:customStyle="1" w:styleId="97">
    <w:name w:val="xl4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w:hAnsi="Arial"/>
      <w:kern w:val="0"/>
      <w:sz w:val="22"/>
    </w:rPr>
  </w:style>
  <w:style w:type="paragraph" w:customStyle="1" w:styleId="98">
    <w:name w:val="Char Char Char Char Char Char Char"/>
    <w:basedOn w:val="1"/>
    <w:qFormat/>
    <w:uiPriority w:val="0"/>
    <w:pPr>
      <w:widowControl/>
      <w:snapToGrid w:val="0"/>
      <w:spacing w:line="360" w:lineRule="auto"/>
      <w:jc w:val="left"/>
    </w:pPr>
  </w:style>
  <w:style w:type="paragraph" w:customStyle="1" w:styleId="99">
    <w:name w:val="xl72"/>
    <w:basedOn w:val="1"/>
    <w:qFormat/>
    <w:uiPriority w:val="0"/>
    <w:pPr>
      <w:widowControl/>
      <w:spacing w:beforeAutospacing="1" w:afterAutospacing="1"/>
      <w:jc w:val="left"/>
      <w:textAlignment w:val="center"/>
    </w:pPr>
    <w:rPr>
      <w:rFonts w:ascii="Arial" w:hAnsi="Arial"/>
      <w:kern w:val="0"/>
      <w:sz w:val="20"/>
    </w:rPr>
  </w:style>
  <w:style w:type="paragraph" w:customStyle="1" w:styleId="100">
    <w:name w:val="xl67"/>
    <w:basedOn w:val="1"/>
    <w:qFormat/>
    <w:uiPriority w:val="0"/>
    <w:pPr>
      <w:widowControl/>
      <w:spacing w:beforeAutospacing="1" w:afterAutospacing="1"/>
      <w:jc w:val="left"/>
      <w:textAlignment w:val="center"/>
    </w:pPr>
    <w:rPr>
      <w:rFonts w:ascii="宋体" w:hAnsi="宋体"/>
      <w:kern w:val="0"/>
      <w:sz w:val="24"/>
    </w:rPr>
  </w:style>
  <w:style w:type="paragraph" w:customStyle="1" w:styleId="10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2">
    <w:name w:val="xl12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03">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4">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05">
    <w:name w:val="普通(网站)1"/>
    <w:basedOn w:val="1"/>
    <w:link w:val="257"/>
    <w:qFormat/>
    <w:uiPriority w:val="0"/>
    <w:pPr>
      <w:widowControl/>
      <w:spacing w:before="100" w:beforeAutospacing="1" w:after="100" w:afterAutospacing="1" w:line="360" w:lineRule="auto"/>
      <w:ind w:firstLine="420" w:firstLineChars="200"/>
      <w:jc w:val="left"/>
    </w:pPr>
    <w:rPr>
      <w:rFonts w:ascii="宋体" w:hAnsi="宋体"/>
      <w:kern w:val="0"/>
      <w:sz w:val="24"/>
    </w:rPr>
  </w:style>
  <w:style w:type="paragraph" w:customStyle="1" w:styleId="106">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07">
    <w:name w:val="font10"/>
    <w:basedOn w:val="1"/>
    <w:qFormat/>
    <w:uiPriority w:val="0"/>
    <w:pPr>
      <w:widowControl/>
      <w:spacing w:beforeAutospacing="1" w:afterAutospacing="1"/>
      <w:jc w:val="left"/>
    </w:pPr>
    <w:rPr>
      <w:rFonts w:hint="eastAsia" w:ascii="宋体" w:hAnsi="宋体"/>
      <w:kern w:val="0"/>
      <w:sz w:val="22"/>
    </w:rPr>
  </w:style>
  <w:style w:type="paragraph" w:customStyle="1" w:styleId="108">
    <w:name w:val="font5"/>
    <w:basedOn w:val="1"/>
    <w:qFormat/>
    <w:uiPriority w:val="0"/>
    <w:pPr>
      <w:widowControl/>
      <w:spacing w:beforeAutospacing="1" w:afterAutospacing="1"/>
      <w:jc w:val="left"/>
    </w:pPr>
    <w:rPr>
      <w:rFonts w:hint="eastAsia" w:ascii="宋体" w:hAnsi="宋体"/>
      <w:kern w:val="0"/>
      <w:sz w:val="24"/>
    </w:rPr>
  </w:style>
  <w:style w:type="paragraph" w:customStyle="1" w:styleId="109">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10">
    <w:name w:val="TableTextLeft"/>
    <w:qFormat/>
    <w:uiPriority w:val="0"/>
    <w:rPr>
      <w:rFonts w:ascii="Century Gothic" w:hAnsi="Century Gothic" w:eastAsia="宋体" w:cs="Times New Roman"/>
      <w:sz w:val="18"/>
      <w:szCs w:val="18"/>
      <w:lang w:val="en-US" w:eastAsia="zh-CN" w:bidi="ar-SA"/>
    </w:rPr>
  </w:style>
  <w:style w:type="paragraph" w:customStyle="1" w:styleId="111">
    <w:name w:val="xl68"/>
    <w:basedOn w:val="1"/>
    <w:qFormat/>
    <w:uiPriority w:val="0"/>
    <w:pPr>
      <w:widowControl/>
      <w:spacing w:beforeAutospacing="1" w:afterAutospacing="1"/>
      <w:jc w:val="left"/>
      <w:textAlignment w:val="center"/>
    </w:pPr>
    <w:rPr>
      <w:rFonts w:ascii="Arial" w:hAnsi="Arial"/>
      <w:kern w:val="0"/>
      <w:sz w:val="20"/>
    </w:rPr>
  </w:style>
  <w:style w:type="paragraph" w:customStyle="1" w:styleId="112">
    <w:name w:val="xl70"/>
    <w:basedOn w:val="1"/>
    <w:qFormat/>
    <w:uiPriority w:val="0"/>
    <w:pPr>
      <w:widowControl/>
      <w:pBdr>
        <w:top w:val="single" w:color="auto" w:sz="4" w:space="0"/>
        <w:left w:val="single" w:color="auto" w:sz="4" w:space="0"/>
        <w:bottom w:val="single" w:color="auto" w:sz="4" w:space="0"/>
      </w:pBdr>
      <w:spacing w:beforeAutospacing="1" w:afterAutospacing="1"/>
      <w:jc w:val="right"/>
      <w:textAlignment w:val="center"/>
    </w:pPr>
    <w:rPr>
      <w:rFonts w:ascii="宋体" w:hAnsi="宋体"/>
      <w:kern w:val="0"/>
      <w:sz w:val="22"/>
    </w:rPr>
  </w:style>
  <w:style w:type="paragraph" w:customStyle="1" w:styleId="113">
    <w:name w:val="xl39"/>
    <w:basedOn w:val="1"/>
    <w:qFormat/>
    <w:uiPriority w:val="0"/>
    <w:pPr>
      <w:widowControl/>
      <w:pBdr>
        <w:left w:val="single" w:color="auto" w:sz="4" w:space="0"/>
        <w:right w:val="single" w:color="auto" w:sz="4" w:space="0"/>
      </w:pBdr>
      <w:spacing w:beforeAutospacing="1" w:afterAutospacing="1"/>
      <w:jc w:val="center"/>
    </w:pPr>
    <w:rPr>
      <w:rFonts w:hint="eastAsia" w:ascii="仿宋_GB2312" w:hAnsi="宋体" w:eastAsia="仿宋_GB2312"/>
      <w:b/>
      <w:kern w:val="0"/>
      <w:sz w:val="24"/>
    </w:rPr>
  </w:style>
  <w:style w:type="paragraph" w:customStyle="1" w:styleId="114">
    <w:name w:val="xl2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4"/>
    </w:rPr>
  </w:style>
  <w:style w:type="paragraph" w:customStyle="1" w:styleId="115">
    <w:name w:val="xl4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textAlignment w:val="center"/>
    </w:pPr>
    <w:rPr>
      <w:rFonts w:ascii="Arial" w:hAnsi="Arial"/>
      <w:kern w:val="0"/>
      <w:sz w:val="22"/>
    </w:rPr>
  </w:style>
  <w:style w:type="paragraph" w:customStyle="1" w:styleId="116">
    <w:name w:val="Table Description"/>
    <w:next w:val="1"/>
    <w:qFormat/>
    <w:uiPriority w:val="0"/>
    <w:pPr>
      <w:keepNext/>
      <w:numPr>
        <w:ilvl w:val="0"/>
        <w:numId w:val="5"/>
      </w:numPr>
      <w:snapToGrid w:val="0"/>
      <w:spacing w:before="160" w:after="80"/>
      <w:ind w:left="1134" w:firstLine="0"/>
      <w:jc w:val="center"/>
    </w:pPr>
    <w:rPr>
      <w:rFonts w:ascii="Arial" w:hAnsi="Arial" w:eastAsia="黑体" w:cs="Arial"/>
      <w:kern w:val="2"/>
      <w:sz w:val="18"/>
      <w:szCs w:val="18"/>
      <w:lang w:val="en-US" w:eastAsia="zh-CN" w:bidi="ar-SA"/>
    </w:rPr>
  </w:style>
  <w:style w:type="paragraph" w:customStyle="1" w:styleId="117">
    <w:name w:val="Char Char1 Char"/>
    <w:basedOn w:val="1"/>
    <w:qFormat/>
    <w:uiPriority w:val="0"/>
    <w:rPr>
      <w:rFonts w:ascii="宋体" w:hAnsi="宋体"/>
      <w:sz w:val="24"/>
    </w:rPr>
  </w:style>
  <w:style w:type="paragraph" w:customStyle="1" w:styleId="118">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9">
    <w:name w:val="Item List"/>
    <w:qFormat/>
    <w:uiPriority w:val="0"/>
    <w:pPr>
      <w:numPr>
        <w:ilvl w:val="1"/>
        <w:numId w:val="3"/>
      </w:numPr>
      <w:tabs>
        <w:tab w:val="left" w:pos="425"/>
        <w:tab w:val="clear" w:pos="992"/>
      </w:tabs>
      <w:spacing w:line="300" w:lineRule="auto"/>
      <w:ind w:left="425" w:hanging="425"/>
      <w:jc w:val="both"/>
    </w:pPr>
    <w:rPr>
      <w:rFonts w:ascii="Arial" w:hAnsi="Arial" w:eastAsia="宋体" w:cs="Arial"/>
      <w:kern w:val="2"/>
      <w:sz w:val="21"/>
      <w:szCs w:val="21"/>
      <w:lang w:val="en-US" w:eastAsia="zh-CN" w:bidi="ar-SA"/>
    </w:rPr>
  </w:style>
  <w:style w:type="paragraph" w:customStyle="1" w:styleId="120">
    <w:name w:val="Char1"/>
    <w:basedOn w:val="1"/>
    <w:qFormat/>
    <w:uiPriority w:val="0"/>
    <w:rPr>
      <w:rFonts w:ascii="仿宋_GB2312" w:eastAsia="仿宋_GB2312"/>
      <w:b/>
      <w:sz w:val="32"/>
      <w:szCs w:val="32"/>
    </w:rPr>
  </w:style>
  <w:style w:type="paragraph" w:customStyle="1" w:styleId="121">
    <w:name w:val="正文K"/>
    <w:qFormat/>
    <w:uiPriority w:val="0"/>
    <w:pPr>
      <w:widowControl w:val="0"/>
      <w:autoSpaceDE w:val="0"/>
      <w:autoSpaceDN w:val="0"/>
      <w:adjustRightInd w:val="0"/>
      <w:spacing w:line="340" w:lineRule="atLeast"/>
      <w:ind w:firstLine="428"/>
      <w:jc w:val="both"/>
    </w:pPr>
    <w:rPr>
      <w:rFonts w:ascii="汉仪楷体简" w:hAnsi="Times New Roman" w:eastAsia="汉仪楷体简" w:cs="汉仪楷体简"/>
      <w:sz w:val="21"/>
      <w:szCs w:val="21"/>
      <w:lang w:val="en-US" w:eastAsia="zh-CN" w:bidi="ar-SA"/>
    </w:rPr>
  </w:style>
  <w:style w:type="paragraph" w:customStyle="1" w:styleId="122">
    <w:name w:val="xl63"/>
    <w:basedOn w:val="1"/>
    <w:qFormat/>
    <w:uiPriority w:val="0"/>
    <w:pPr>
      <w:widowControl/>
      <w:pBdr>
        <w:top w:val="single" w:color="auto" w:sz="4" w:space="0"/>
        <w:left w:val="double" w:color="auto" w:sz="6" w:space="0"/>
        <w:bottom w:val="single" w:color="auto" w:sz="4" w:space="0"/>
        <w:right w:val="single" w:color="auto" w:sz="4" w:space="0"/>
      </w:pBdr>
      <w:spacing w:beforeAutospacing="1" w:afterAutospacing="1"/>
      <w:jc w:val="center"/>
      <w:textAlignment w:val="center"/>
    </w:pPr>
    <w:rPr>
      <w:rFonts w:ascii="Arial" w:hAnsi="Arial"/>
      <w:kern w:val="0"/>
      <w:sz w:val="22"/>
    </w:rPr>
  </w:style>
  <w:style w:type="paragraph" w:customStyle="1" w:styleId="123">
    <w:name w:val="reader-word-layer reader-word-s10-13"/>
    <w:basedOn w:val="1"/>
    <w:qFormat/>
    <w:uiPriority w:val="0"/>
    <w:pPr>
      <w:widowControl/>
      <w:spacing w:beforeAutospacing="1" w:afterAutospacing="1"/>
      <w:jc w:val="left"/>
    </w:pPr>
    <w:rPr>
      <w:rFonts w:ascii="宋体" w:hAnsi="宋体" w:cs="宋体"/>
      <w:kern w:val="0"/>
      <w:sz w:val="24"/>
      <w:szCs w:val="24"/>
    </w:rPr>
  </w:style>
  <w:style w:type="paragraph" w:customStyle="1" w:styleId="124">
    <w:name w:val="样式 标题 2H2UNDERRUBRIK 1-2Underrubrik1prop2Heading 2 HiddenH..."/>
    <w:basedOn w:val="4"/>
    <w:qFormat/>
    <w:uiPriority w:val="0"/>
    <w:pPr>
      <w:keepLines w:val="0"/>
      <w:widowControl/>
      <w:tabs>
        <w:tab w:val="left" w:pos="992"/>
      </w:tabs>
      <w:spacing w:before="240" w:after="240" w:line="240" w:lineRule="auto"/>
      <w:ind w:left="992" w:hanging="567"/>
    </w:pPr>
    <w:rPr>
      <w:b w:val="0"/>
      <w:sz w:val="30"/>
      <w:szCs w:val="24"/>
    </w:rPr>
  </w:style>
  <w:style w:type="paragraph" w:customStyle="1" w:styleId="125">
    <w:name w:val="xl69"/>
    <w:basedOn w:val="1"/>
    <w:qFormat/>
    <w:uiPriority w:val="0"/>
    <w:pPr>
      <w:widowControl/>
      <w:spacing w:beforeAutospacing="1" w:afterAutospacing="1"/>
      <w:jc w:val="left"/>
      <w:textAlignment w:val="center"/>
    </w:pPr>
    <w:rPr>
      <w:rFonts w:ascii="Arial" w:hAnsi="Arial"/>
      <w:kern w:val="0"/>
      <w:sz w:val="24"/>
    </w:rPr>
  </w:style>
  <w:style w:type="paragraph" w:customStyle="1" w:styleId="126">
    <w:name w:val="表格文字（大）"/>
    <w:basedOn w:val="1"/>
    <w:qFormat/>
    <w:uiPriority w:val="0"/>
    <w:pPr>
      <w:numPr>
        <w:ilvl w:val="0"/>
        <w:numId w:val="6"/>
      </w:numPr>
      <w:spacing w:before="20" w:after="20"/>
      <w:ind w:left="0" w:firstLine="0"/>
    </w:pPr>
    <w:rPr>
      <w:rFonts w:ascii="Century Gothic" w:hAnsi="Century Gothic"/>
      <w:sz w:val="24"/>
    </w:rPr>
  </w:style>
  <w:style w:type="paragraph" w:customStyle="1" w:styleId="127">
    <w:name w:val="xl2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4"/>
    </w:rPr>
  </w:style>
  <w:style w:type="paragraph" w:customStyle="1" w:styleId="128">
    <w:name w:val="xl3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2"/>
    </w:rPr>
  </w:style>
  <w:style w:type="paragraph" w:customStyle="1" w:styleId="129">
    <w:name w:val="xl9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rPr>
  </w:style>
  <w:style w:type="paragraph" w:customStyle="1" w:styleId="130">
    <w:name w:val="xl4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w:hAnsi="Arial"/>
      <w:kern w:val="0"/>
      <w:sz w:val="22"/>
    </w:rPr>
  </w:style>
  <w:style w:type="paragraph" w:customStyle="1" w:styleId="131">
    <w:name w:val="SecC"/>
    <w:qFormat/>
    <w:uiPriority w:val="0"/>
    <w:pPr>
      <w:tabs>
        <w:tab w:val="left" w:pos="1701"/>
        <w:tab w:val="left" w:pos="2126"/>
        <w:tab w:val="left" w:pos="2552"/>
        <w:tab w:val="left" w:pos="3969"/>
        <w:tab w:val="left" w:pos="5670"/>
        <w:tab w:val="right" w:pos="7938"/>
      </w:tabs>
      <w:ind w:left="1701" w:hanging="1701"/>
      <w:jc w:val="both"/>
    </w:pPr>
    <w:rPr>
      <w:rFonts w:ascii="Frutiger 55 Roman" w:hAnsi="Frutiger 55 Roman" w:eastAsia="宋体" w:cs="Times New Roman"/>
      <w:sz w:val="22"/>
      <w:lang w:val="en-GB" w:eastAsia="zh-CN" w:bidi="ar-SA"/>
    </w:rPr>
  </w:style>
  <w:style w:type="paragraph" w:customStyle="1" w:styleId="13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33">
    <w:name w:val="reader-word-layer reader-word-s10-7"/>
    <w:basedOn w:val="1"/>
    <w:qFormat/>
    <w:uiPriority w:val="0"/>
    <w:pPr>
      <w:widowControl/>
      <w:spacing w:beforeAutospacing="1" w:afterAutospacing="1"/>
      <w:jc w:val="left"/>
    </w:pPr>
    <w:rPr>
      <w:rFonts w:ascii="宋体" w:hAnsi="宋体" w:cs="宋体"/>
      <w:kern w:val="0"/>
      <w:sz w:val="24"/>
      <w:szCs w:val="24"/>
    </w:rPr>
  </w:style>
  <w:style w:type="paragraph" w:customStyle="1" w:styleId="13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35">
    <w:name w:val="xl5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w:hAnsi="Arial"/>
      <w:kern w:val="0"/>
      <w:sz w:val="22"/>
    </w:rPr>
  </w:style>
  <w:style w:type="paragraph" w:customStyle="1" w:styleId="136">
    <w:name w:val="xl3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4"/>
    </w:rPr>
  </w:style>
  <w:style w:type="paragraph" w:customStyle="1" w:styleId="137">
    <w:name w:val="_Style 10"/>
    <w:basedOn w:val="1"/>
    <w:qFormat/>
    <w:uiPriority w:val="0"/>
    <w:rPr>
      <w:szCs w:val="24"/>
    </w:rPr>
  </w:style>
  <w:style w:type="paragraph" w:customStyle="1" w:styleId="138">
    <w:name w:val="正文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Char"/>
    <w:basedOn w:val="1"/>
    <w:qFormat/>
    <w:uiPriority w:val="0"/>
  </w:style>
  <w:style w:type="paragraph" w:customStyle="1" w:styleId="140">
    <w:name w:val="标题X.1.1"/>
    <w:basedOn w:val="1"/>
    <w:next w:val="2"/>
    <w:qFormat/>
    <w:uiPriority w:val="0"/>
    <w:pPr>
      <w:tabs>
        <w:tab w:val="left" w:pos="540"/>
        <w:tab w:val="left" w:pos="5985"/>
      </w:tabs>
      <w:spacing w:beforeLines="150" w:line="400" w:lineRule="exact"/>
      <w:outlineLvl w:val="2"/>
    </w:pPr>
    <w:rPr>
      <w:rFonts w:ascii="宋体" w:hAnsi="宋体"/>
      <w:b/>
      <w:sz w:val="30"/>
      <w:szCs w:val="30"/>
    </w:rPr>
  </w:style>
  <w:style w:type="paragraph" w:customStyle="1" w:styleId="141">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2">
    <w:name w:val="5"/>
    <w:basedOn w:val="1"/>
    <w:next w:val="25"/>
    <w:qFormat/>
    <w:uiPriority w:val="0"/>
    <w:rPr>
      <w:rFonts w:ascii="宋体" w:hAnsi="Courier New"/>
    </w:rPr>
  </w:style>
  <w:style w:type="paragraph" w:customStyle="1" w:styleId="143">
    <w:name w:val="_Style 43"/>
    <w:basedOn w:val="16"/>
    <w:qFormat/>
    <w:uiPriority w:val="0"/>
    <w:rPr>
      <w:rFonts w:ascii="Tahoma" w:hAnsi="Tahoma"/>
      <w:sz w:val="24"/>
      <w:szCs w:val="24"/>
    </w:rPr>
  </w:style>
  <w:style w:type="paragraph" w:customStyle="1" w:styleId="144">
    <w:name w:val="xl82"/>
    <w:basedOn w:val="1"/>
    <w:qFormat/>
    <w:uiPriority w:val="0"/>
    <w:pPr>
      <w:widowControl/>
      <w:spacing w:beforeAutospacing="1" w:afterAutospacing="1"/>
      <w:jc w:val="center"/>
      <w:textAlignment w:val="center"/>
    </w:pPr>
    <w:rPr>
      <w:rFonts w:ascii="宋体" w:hAnsi="宋体"/>
      <w:b/>
      <w:kern w:val="0"/>
      <w:sz w:val="40"/>
    </w:rPr>
  </w:style>
  <w:style w:type="paragraph" w:customStyle="1" w:styleId="14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6">
    <w:name w:val="xl4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textAlignment w:val="center"/>
    </w:pPr>
    <w:rPr>
      <w:kern w:val="0"/>
      <w:sz w:val="22"/>
    </w:rPr>
  </w:style>
  <w:style w:type="paragraph" w:customStyle="1" w:styleId="147">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8">
    <w:name w:val="普通 (Web)"/>
    <w:basedOn w:val="1"/>
    <w:qFormat/>
    <w:uiPriority w:val="0"/>
    <w:pPr>
      <w:widowControl/>
      <w:jc w:val="left"/>
    </w:pPr>
    <w:rPr>
      <w:rFonts w:ascii="Arial Unicode MS" w:hAnsi="Arial Unicode MS" w:eastAsia="Arial Unicode MS"/>
      <w:kern w:val="0"/>
      <w:sz w:val="24"/>
    </w:rPr>
  </w:style>
  <w:style w:type="paragraph" w:customStyle="1" w:styleId="149">
    <w:name w:val="Char Char Char Char Char Char Char Char Char Char"/>
    <w:basedOn w:val="1"/>
    <w:qFormat/>
    <w:uiPriority w:val="0"/>
    <w:pPr>
      <w:tabs>
        <w:tab w:val="left" w:pos="360"/>
      </w:tabs>
      <w:ind w:left="360" w:hanging="360" w:hangingChars="200"/>
    </w:pPr>
    <w:rPr>
      <w:sz w:val="24"/>
      <w:szCs w:val="24"/>
    </w:rPr>
  </w:style>
  <w:style w:type="paragraph" w:customStyle="1" w:styleId="150">
    <w:name w:val="xl2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4"/>
    </w:rPr>
  </w:style>
  <w:style w:type="paragraph" w:customStyle="1" w:styleId="151">
    <w:name w:val="标题4"/>
    <w:basedOn w:val="1"/>
    <w:qFormat/>
    <w:uiPriority w:val="0"/>
    <w:pPr>
      <w:widowControl/>
      <w:snapToGrid w:val="0"/>
      <w:spacing w:line="500" w:lineRule="exact"/>
      <w:ind w:firstLine="641"/>
      <w:jc w:val="left"/>
    </w:pPr>
    <w:rPr>
      <w:rFonts w:ascii="Verdana" w:hAnsi="Verdana" w:eastAsia="黑体"/>
      <w:b/>
      <w:kern w:val="0"/>
      <w:sz w:val="32"/>
      <w:szCs w:val="32"/>
      <w:lang w:eastAsia="en-US"/>
    </w:rPr>
  </w:style>
  <w:style w:type="paragraph" w:customStyle="1" w:styleId="152">
    <w:name w:val="Char Char Char Char"/>
    <w:basedOn w:val="1"/>
    <w:qFormat/>
    <w:uiPriority w:val="0"/>
    <w:rPr>
      <w:rFonts w:ascii="Tahoma" w:hAnsi="Tahoma"/>
      <w:sz w:val="24"/>
    </w:rPr>
  </w:style>
  <w:style w:type="paragraph" w:customStyle="1" w:styleId="153">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54">
    <w:name w:val="reader-word-layer reader-word-s10-12"/>
    <w:basedOn w:val="1"/>
    <w:qFormat/>
    <w:uiPriority w:val="0"/>
    <w:pPr>
      <w:widowControl/>
      <w:spacing w:beforeAutospacing="1" w:afterAutospacing="1"/>
      <w:jc w:val="left"/>
    </w:pPr>
    <w:rPr>
      <w:rFonts w:ascii="宋体" w:hAnsi="宋体" w:cs="宋体"/>
      <w:kern w:val="0"/>
      <w:sz w:val="24"/>
      <w:szCs w:val="24"/>
    </w:rPr>
  </w:style>
  <w:style w:type="paragraph" w:customStyle="1" w:styleId="155">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56">
    <w:name w:val="Char Char Char"/>
    <w:basedOn w:val="1"/>
    <w:qFormat/>
    <w:uiPriority w:val="0"/>
    <w:rPr>
      <w:rFonts w:ascii="Tahoma" w:hAnsi="Tahoma"/>
      <w:sz w:val="24"/>
    </w:rPr>
  </w:style>
  <w:style w:type="paragraph" w:customStyle="1" w:styleId="157">
    <w:name w:val="xl5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textAlignment w:val="center"/>
    </w:pPr>
    <w:rPr>
      <w:rFonts w:ascii="Arial" w:hAnsi="Arial"/>
      <w:kern w:val="0"/>
      <w:sz w:val="22"/>
    </w:rPr>
  </w:style>
  <w:style w:type="paragraph" w:customStyle="1" w:styleId="158">
    <w:name w:val="xl5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kern w:val="0"/>
      <w:sz w:val="24"/>
    </w:rPr>
  </w:style>
  <w:style w:type="paragraph" w:customStyle="1" w:styleId="159">
    <w:name w:val="xl91"/>
    <w:basedOn w:val="1"/>
    <w:qFormat/>
    <w:uiPriority w:val="0"/>
    <w:pPr>
      <w:widowControl/>
      <w:spacing w:before="100" w:beforeAutospacing="1" w:after="100" w:afterAutospacing="1"/>
      <w:jc w:val="center"/>
    </w:pPr>
    <w:rPr>
      <w:rFonts w:ascii="宋体" w:hAnsi="宋体" w:cs="宋体"/>
      <w:b/>
      <w:bCs/>
      <w:kern w:val="0"/>
      <w:sz w:val="20"/>
    </w:rPr>
  </w:style>
  <w:style w:type="paragraph" w:customStyle="1" w:styleId="160">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61">
    <w:name w:val="font9"/>
    <w:basedOn w:val="1"/>
    <w:qFormat/>
    <w:uiPriority w:val="0"/>
    <w:pPr>
      <w:widowControl/>
      <w:spacing w:beforeAutospacing="1" w:afterAutospacing="1"/>
      <w:jc w:val="left"/>
    </w:pPr>
    <w:rPr>
      <w:rFonts w:hint="eastAsia" w:ascii="宋体" w:hAnsi="宋体"/>
      <w:b/>
      <w:kern w:val="0"/>
      <w:sz w:val="40"/>
    </w:rPr>
  </w:style>
  <w:style w:type="paragraph" w:customStyle="1" w:styleId="162">
    <w:name w:val="xl1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6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4">
    <w:name w:val="xl11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5">
    <w:name w:val="xl33"/>
    <w:basedOn w:val="1"/>
    <w:qFormat/>
    <w:uiPriority w:val="0"/>
    <w:pPr>
      <w:widowControl/>
      <w:pBdr>
        <w:bottom w:val="single" w:color="auto" w:sz="4" w:space="0"/>
        <w:right w:val="single" w:color="auto" w:sz="4" w:space="0"/>
      </w:pBdr>
      <w:spacing w:beforeAutospacing="1" w:afterAutospacing="1"/>
      <w:jc w:val="center"/>
      <w:textAlignment w:val="center"/>
    </w:pPr>
    <w:rPr>
      <w:rFonts w:ascii="宋体" w:hAnsi="宋体"/>
      <w:kern w:val="0"/>
      <w:sz w:val="24"/>
    </w:rPr>
  </w:style>
  <w:style w:type="paragraph" w:customStyle="1" w:styleId="166">
    <w:name w:val="xl66"/>
    <w:basedOn w:val="1"/>
    <w:qFormat/>
    <w:uiPriority w:val="0"/>
    <w:pPr>
      <w:widowControl/>
      <w:pBdr>
        <w:top w:val="single" w:color="auto" w:sz="4" w:space="0"/>
        <w:left w:val="single" w:color="auto" w:sz="4" w:space="0"/>
        <w:bottom w:val="single" w:color="auto" w:sz="4" w:space="0"/>
      </w:pBdr>
      <w:spacing w:beforeAutospacing="1" w:afterAutospacing="1"/>
      <w:jc w:val="left"/>
      <w:textAlignment w:val="center"/>
    </w:pPr>
    <w:rPr>
      <w:rFonts w:ascii="宋体" w:hAnsi="宋体"/>
      <w:kern w:val="0"/>
      <w:sz w:val="22"/>
    </w:rPr>
  </w:style>
  <w:style w:type="paragraph" w:customStyle="1" w:styleId="167">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168">
    <w:name w:val="Char Char1 Char Char Char Char Char Char Char Char Char Char Char Char Char Char Char"/>
    <w:basedOn w:val="1"/>
    <w:qFormat/>
    <w:uiPriority w:val="0"/>
    <w:pPr>
      <w:widowControl/>
      <w:spacing w:line="240" w:lineRule="exact"/>
      <w:jc w:val="left"/>
    </w:pPr>
    <w:rPr>
      <w:szCs w:val="24"/>
    </w:rPr>
  </w:style>
  <w:style w:type="paragraph" w:customStyle="1" w:styleId="169">
    <w:name w:val="xl6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2"/>
    </w:rPr>
  </w:style>
  <w:style w:type="paragraph" w:customStyle="1" w:styleId="170">
    <w:name w:val="Char1 Char Char Char"/>
    <w:basedOn w:val="1"/>
    <w:qFormat/>
    <w:uiPriority w:val="0"/>
    <w:rPr>
      <w:rFonts w:ascii="Tahoma" w:hAnsi="Tahoma"/>
      <w:sz w:val="24"/>
    </w:rPr>
  </w:style>
  <w:style w:type="paragraph" w:customStyle="1" w:styleId="171">
    <w:name w:val="列出段落2"/>
    <w:basedOn w:val="1"/>
    <w:qFormat/>
    <w:uiPriority w:val="0"/>
    <w:pPr>
      <w:ind w:firstLine="420" w:firstLineChars="200"/>
    </w:pPr>
    <w:rPr>
      <w:szCs w:val="24"/>
    </w:rPr>
  </w:style>
  <w:style w:type="paragraph" w:customStyle="1" w:styleId="172">
    <w:name w:val="xl4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w:hAnsi="Arial"/>
      <w:kern w:val="0"/>
      <w:sz w:val="22"/>
    </w:rPr>
  </w:style>
  <w:style w:type="paragraph" w:customStyle="1" w:styleId="173">
    <w:name w:val="xl32"/>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kern w:val="0"/>
      <w:sz w:val="24"/>
    </w:rPr>
  </w:style>
  <w:style w:type="paragraph" w:customStyle="1" w:styleId="174">
    <w:name w:val="xl73"/>
    <w:basedOn w:val="1"/>
    <w:qFormat/>
    <w:uiPriority w:val="0"/>
    <w:pPr>
      <w:widowControl/>
      <w:pBdr>
        <w:top w:val="single" w:color="auto" w:sz="4" w:space="0"/>
        <w:left w:val="double" w:color="auto" w:sz="6" w:space="0"/>
        <w:bottom w:val="single" w:color="auto" w:sz="4" w:space="0"/>
        <w:right w:val="single" w:color="auto" w:sz="4" w:space="0"/>
      </w:pBdr>
      <w:spacing w:beforeAutospacing="1" w:afterAutospacing="1"/>
      <w:jc w:val="center"/>
      <w:textAlignment w:val="center"/>
    </w:pPr>
    <w:rPr>
      <w:rFonts w:ascii="Arial" w:hAnsi="Arial"/>
      <w:kern w:val="0"/>
      <w:sz w:val="22"/>
    </w:rPr>
  </w:style>
  <w:style w:type="paragraph" w:customStyle="1" w:styleId="175">
    <w:name w:val="Figure Description"/>
    <w:next w:val="1"/>
    <w:qFormat/>
    <w:uiPriority w:val="0"/>
    <w:pPr>
      <w:numPr>
        <w:ilvl w:val="1"/>
        <w:numId w:val="7"/>
      </w:numPr>
      <w:tabs>
        <w:tab w:val="clear" w:pos="927"/>
      </w:tabs>
      <w:snapToGrid w:val="0"/>
      <w:spacing w:before="80" w:after="320"/>
      <w:ind w:left="1134" w:firstLine="0"/>
      <w:jc w:val="center"/>
    </w:pPr>
    <w:rPr>
      <w:rFonts w:ascii="Arial" w:hAnsi="Arial" w:eastAsia="黑体" w:cs="Arial"/>
      <w:sz w:val="18"/>
      <w:szCs w:val="18"/>
      <w:lang w:val="en-US" w:eastAsia="zh-CN" w:bidi="ar-SA"/>
    </w:rPr>
  </w:style>
  <w:style w:type="paragraph" w:customStyle="1" w:styleId="176">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7">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178">
    <w:name w:val="xl4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w:hAnsi="Arial"/>
      <w:kern w:val="0"/>
      <w:sz w:val="22"/>
    </w:rPr>
  </w:style>
  <w:style w:type="paragraph" w:customStyle="1" w:styleId="17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0">
    <w:name w:val="xl55"/>
    <w:basedOn w:val="1"/>
    <w:qFormat/>
    <w:uiPriority w:val="0"/>
    <w:pPr>
      <w:widowControl/>
      <w:pBdr>
        <w:top w:val="single" w:color="auto" w:sz="4" w:space="0"/>
        <w:left w:val="single" w:color="auto" w:sz="8" w:space="0"/>
        <w:bottom w:val="single" w:color="auto" w:sz="4" w:space="0"/>
        <w:right w:val="single" w:color="auto" w:sz="4" w:space="0"/>
      </w:pBdr>
      <w:spacing w:beforeAutospacing="1" w:afterAutospacing="1"/>
      <w:jc w:val="center"/>
      <w:textAlignment w:val="center"/>
    </w:pPr>
    <w:rPr>
      <w:kern w:val="0"/>
      <w:sz w:val="24"/>
    </w:rPr>
  </w:style>
  <w:style w:type="paragraph" w:customStyle="1" w:styleId="181">
    <w:name w:val="默认段落字体 Para Char Char Char Char Char Char Char Char Char1"/>
    <w:basedOn w:val="1"/>
    <w:qFormat/>
    <w:uiPriority w:val="0"/>
    <w:pPr>
      <w:numPr>
        <w:ilvl w:val="3"/>
        <w:numId w:val="5"/>
      </w:numPr>
      <w:tabs>
        <w:tab w:val="clear" w:pos="2356"/>
      </w:tabs>
      <w:ind w:left="0" w:firstLine="0"/>
    </w:pPr>
    <w:rPr>
      <w:rFonts w:ascii="Tahoma" w:hAnsi="Tahoma"/>
      <w:sz w:val="24"/>
    </w:rPr>
  </w:style>
  <w:style w:type="paragraph" w:customStyle="1" w:styleId="182">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3">
    <w:name w:val="Item Step in Table"/>
    <w:qFormat/>
    <w:uiPriority w:val="0"/>
    <w:pPr>
      <w:numPr>
        <w:ilvl w:val="0"/>
        <w:numId w:val="8"/>
      </w:numPr>
      <w:spacing w:before="40" w:after="40"/>
      <w:jc w:val="both"/>
    </w:pPr>
    <w:rPr>
      <w:rFonts w:ascii="Arial" w:hAnsi="Arial" w:eastAsia="宋体" w:cs="Times New Roman"/>
      <w:sz w:val="18"/>
      <w:lang w:val="en-US" w:eastAsia="zh-CN" w:bidi="ar-SA"/>
    </w:rPr>
  </w:style>
  <w:style w:type="paragraph" w:customStyle="1" w:styleId="184">
    <w:name w:val="样式 行距: 1.5 倍行距1"/>
    <w:basedOn w:val="1"/>
    <w:qFormat/>
    <w:uiPriority w:val="0"/>
    <w:pPr>
      <w:spacing w:line="360" w:lineRule="auto"/>
      <w:ind w:firstLine="480"/>
    </w:pPr>
    <w:rPr>
      <w:rFonts w:cs="宋体"/>
      <w:sz w:val="24"/>
      <w:szCs w:val="24"/>
    </w:rPr>
  </w:style>
  <w:style w:type="paragraph" w:customStyle="1" w:styleId="18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186">
    <w:name w:val="Table Text Char Char"/>
    <w:qFormat/>
    <w:uiPriority w:val="0"/>
    <w:pPr>
      <w:snapToGrid w:val="0"/>
      <w:spacing w:before="80" w:after="80"/>
    </w:pPr>
    <w:rPr>
      <w:rFonts w:ascii="Arial" w:hAnsi="Arial" w:eastAsia="宋体" w:cs="Arial"/>
      <w:kern w:val="2"/>
      <w:sz w:val="18"/>
      <w:szCs w:val="21"/>
      <w:lang w:val="en-US" w:eastAsia="zh-CN" w:bidi="ar-SA"/>
    </w:rPr>
  </w:style>
  <w:style w:type="paragraph" w:customStyle="1" w:styleId="187">
    <w:name w:val="xl9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88">
    <w:name w:val="样式 宋体 五号 两端对齐 行距: 单倍行距"/>
    <w:basedOn w:val="1"/>
    <w:qFormat/>
    <w:uiPriority w:val="0"/>
    <w:pPr>
      <w:adjustRightInd w:val="0"/>
      <w:textAlignment w:val="baseline"/>
    </w:pPr>
    <w:rPr>
      <w:rFonts w:ascii="宋体" w:hAnsi="宋体"/>
      <w:kern w:val="0"/>
    </w:rPr>
  </w:style>
  <w:style w:type="paragraph" w:customStyle="1" w:styleId="189">
    <w:name w:val="font8"/>
    <w:basedOn w:val="1"/>
    <w:qFormat/>
    <w:uiPriority w:val="0"/>
    <w:pPr>
      <w:widowControl/>
      <w:spacing w:beforeAutospacing="1" w:afterAutospacing="1"/>
      <w:jc w:val="left"/>
    </w:pPr>
    <w:rPr>
      <w:rFonts w:hint="eastAsia" w:ascii="宋体" w:hAnsi="宋体"/>
      <w:kern w:val="0"/>
      <w:sz w:val="24"/>
    </w:rPr>
  </w:style>
  <w:style w:type="paragraph" w:customStyle="1" w:styleId="190">
    <w:name w:val="目录"/>
    <w:basedOn w:val="1"/>
    <w:qFormat/>
    <w:uiPriority w:val="0"/>
    <w:pPr>
      <w:widowControl/>
      <w:jc w:val="center"/>
    </w:pPr>
    <w:rPr>
      <w:rFonts w:ascii="宋体"/>
      <w:b/>
      <w:kern w:val="0"/>
      <w:sz w:val="36"/>
    </w:rPr>
  </w:style>
  <w:style w:type="paragraph" w:customStyle="1" w:styleId="191">
    <w:name w:val="样式 标题 22nd levelh22Header 2l2第一章 标题 2Heading 2 HiddenHea..."/>
    <w:basedOn w:val="4"/>
    <w:qFormat/>
    <w:uiPriority w:val="0"/>
    <w:pPr>
      <w:numPr>
        <w:ilvl w:val="1"/>
        <w:numId w:val="9"/>
      </w:numPr>
      <w:spacing w:line="240" w:lineRule="auto"/>
    </w:pPr>
    <w:rPr>
      <w:rFonts w:cs="宋体"/>
      <w:bCs/>
      <w:sz w:val="24"/>
      <w:szCs w:val="24"/>
    </w:rPr>
  </w:style>
  <w:style w:type="paragraph" w:customStyle="1" w:styleId="192">
    <w:name w:val="xl36"/>
    <w:basedOn w:val="1"/>
    <w:qFormat/>
    <w:uiPriority w:val="0"/>
    <w:pPr>
      <w:widowControl/>
      <w:jc w:val="center"/>
    </w:pPr>
    <w:rPr>
      <w:rFonts w:hint="eastAsia" w:ascii="宋体" w:hAnsi="宋体"/>
      <w:kern w:val="0"/>
      <w:sz w:val="24"/>
    </w:rPr>
  </w:style>
  <w:style w:type="paragraph" w:customStyle="1" w:styleId="193">
    <w:name w:val="xl4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rPr>
  </w:style>
  <w:style w:type="paragraph" w:customStyle="1" w:styleId="194">
    <w:name w:val="font11"/>
    <w:basedOn w:val="1"/>
    <w:qFormat/>
    <w:uiPriority w:val="0"/>
    <w:pPr>
      <w:widowControl/>
      <w:spacing w:beforeAutospacing="1" w:afterAutospacing="1"/>
      <w:jc w:val="left"/>
    </w:pPr>
    <w:rPr>
      <w:kern w:val="0"/>
      <w:sz w:val="22"/>
    </w:rPr>
  </w:style>
  <w:style w:type="paragraph" w:customStyle="1" w:styleId="195">
    <w:name w:val="xl4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Arial" w:hAnsi="Arial"/>
      <w:kern w:val="0"/>
      <w:sz w:val="22"/>
    </w:rPr>
  </w:style>
  <w:style w:type="paragraph" w:customStyle="1" w:styleId="196">
    <w:name w:val="样式4"/>
    <w:basedOn w:val="1"/>
    <w:qFormat/>
    <w:uiPriority w:val="0"/>
    <w:pPr>
      <w:jc w:val="center"/>
      <w:outlineLvl w:val="0"/>
    </w:pPr>
    <w:rPr>
      <w:b/>
      <w:sz w:val="32"/>
    </w:rPr>
  </w:style>
  <w:style w:type="paragraph" w:customStyle="1" w:styleId="197">
    <w:name w:val="Blockquote"/>
    <w:basedOn w:val="1"/>
    <w:qFormat/>
    <w:uiPriority w:val="0"/>
    <w:pPr>
      <w:autoSpaceDE w:val="0"/>
      <w:autoSpaceDN w:val="0"/>
      <w:adjustRightInd w:val="0"/>
      <w:ind w:left="360" w:right="360"/>
      <w:jc w:val="left"/>
    </w:pPr>
    <w:rPr>
      <w:kern w:val="0"/>
      <w:sz w:val="24"/>
    </w:rPr>
  </w:style>
  <w:style w:type="paragraph" w:customStyle="1" w:styleId="198">
    <w:name w:val="xl80"/>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4"/>
    </w:rPr>
  </w:style>
  <w:style w:type="paragraph" w:customStyle="1" w:styleId="199">
    <w:name w:val="样式 标题 22nd levelh22Header 2l2第一章 标题 2Heading 2 HiddenHea...1"/>
    <w:basedOn w:val="4"/>
    <w:qFormat/>
    <w:uiPriority w:val="0"/>
    <w:pPr>
      <w:numPr>
        <w:ilvl w:val="3"/>
        <w:numId w:val="3"/>
      </w:numPr>
      <w:tabs>
        <w:tab w:val="left" w:pos="992"/>
        <w:tab w:val="clear" w:pos="2356"/>
      </w:tabs>
      <w:spacing w:line="240" w:lineRule="auto"/>
      <w:ind w:left="992" w:hanging="567"/>
    </w:pPr>
    <w:rPr>
      <w:rFonts w:cs="宋体"/>
      <w:bCs/>
      <w:sz w:val="28"/>
    </w:rPr>
  </w:style>
  <w:style w:type="paragraph" w:customStyle="1" w:styleId="200">
    <w:name w:val="xl11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01">
    <w:name w:val=".."/>
    <w:basedOn w:val="202"/>
    <w:next w:val="202"/>
    <w:qFormat/>
    <w:uiPriority w:val="0"/>
    <w:rPr>
      <w:rFonts w:cs="Times New Roman"/>
      <w:color w:val="auto"/>
    </w:rPr>
  </w:style>
  <w:style w:type="paragraph" w:customStyle="1" w:styleId="20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3">
    <w:name w:val="正文首行缩进两字符 Char Char"/>
    <w:basedOn w:val="1"/>
    <w:qFormat/>
    <w:uiPriority w:val="0"/>
    <w:pPr>
      <w:spacing w:line="360" w:lineRule="auto"/>
      <w:ind w:firstLine="200" w:firstLineChars="200"/>
    </w:pPr>
    <w:rPr>
      <w:sz w:val="24"/>
      <w:szCs w:val="24"/>
    </w:rPr>
  </w:style>
  <w:style w:type="paragraph" w:customStyle="1" w:styleId="204">
    <w:name w:val="xl7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textAlignment w:val="center"/>
    </w:pPr>
    <w:rPr>
      <w:rFonts w:ascii="宋体" w:hAnsi="宋体"/>
      <w:kern w:val="0"/>
      <w:sz w:val="20"/>
    </w:rPr>
  </w:style>
  <w:style w:type="paragraph" w:customStyle="1" w:styleId="20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0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07">
    <w:name w:val="font0"/>
    <w:basedOn w:val="1"/>
    <w:qFormat/>
    <w:uiPriority w:val="0"/>
    <w:pPr>
      <w:widowControl/>
      <w:spacing w:beforeAutospacing="1" w:afterAutospacing="1"/>
      <w:jc w:val="left"/>
    </w:pPr>
    <w:rPr>
      <w:rFonts w:hint="eastAsia" w:ascii="宋体" w:hAnsi="宋体"/>
      <w:kern w:val="0"/>
      <w:sz w:val="24"/>
    </w:rPr>
  </w:style>
  <w:style w:type="paragraph" w:customStyle="1" w:styleId="208">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09">
    <w:name w:val="xl31"/>
    <w:basedOn w:val="1"/>
    <w:qFormat/>
    <w:uiPriority w:val="0"/>
    <w:pPr>
      <w:widowControl/>
      <w:pBdr>
        <w:top w:val="single" w:color="auto" w:sz="4" w:space="0"/>
        <w:left w:val="single" w:color="auto" w:sz="4" w:space="0"/>
        <w:bottom w:val="single" w:color="auto" w:sz="8" w:space="0"/>
        <w:right w:val="single" w:color="auto" w:sz="4" w:space="0"/>
      </w:pBdr>
      <w:spacing w:beforeAutospacing="1" w:afterAutospacing="1"/>
      <w:jc w:val="center"/>
      <w:textAlignment w:val="center"/>
    </w:pPr>
    <w:rPr>
      <w:rFonts w:ascii="宋体" w:hAnsi="宋体"/>
      <w:kern w:val="0"/>
      <w:sz w:val="24"/>
    </w:rPr>
  </w:style>
  <w:style w:type="paragraph" w:customStyle="1" w:styleId="210">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1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12">
    <w:name w:val="xl65"/>
    <w:basedOn w:val="1"/>
    <w:qFormat/>
    <w:uiPriority w:val="0"/>
    <w:pPr>
      <w:widowControl/>
      <w:pBdr>
        <w:top w:val="single" w:color="auto" w:sz="4" w:space="0"/>
        <w:left w:val="single" w:color="auto" w:sz="4" w:space="0"/>
        <w:bottom w:val="single" w:color="auto" w:sz="4" w:space="0"/>
      </w:pBdr>
      <w:spacing w:beforeAutospacing="1" w:afterAutospacing="1"/>
      <w:jc w:val="right"/>
      <w:textAlignment w:val="center"/>
    </w:pPr>
    <w:rPr>
      <w:rFonts w:ascii="Arial" w:hAnsi="Arial"/>
      <w:kern w:val="0"/>
      <w:sz w:val="22"/>
    </w:rPr>
  </w:style>
  <w:style w:type="paragraph" w:customStyle="1" w:styleId="213">
    <w:name w:val="123"/>
    <w:basedOn w:val="1"/>
    <w:qFormat/>
    <w:uiPriority w:val="0"/>
    <w:pPr>
      <w:spacing w:before="120"/>
      <w:ind w:firstLine="425"/>
    </w:pPr>
  </w:style>
  <w:style w:type="paragraph" w:customStyle="1" w:styleId="214">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15">
    <w:name w:val="xl101"/>
    <w:basedOn w:val="1"/>
    <w:qFormat/>
    <w:uiPriority w:val="0"/>
    <w:pPr>
      <w:widowControl/>
      <w:spacing w:before="100" w:beforeAutospacing="1" w:after="100" w:afterAutospacing="1"/>
      <w:jc w:val="center"/>
    </w:pPr>
    <w:rPr>
      <w:rFonts w:ascii="宋体" w:hAnsi="宋体" w:cs="宋体"/>
      <w:kern w:val="0"/>
      <w:sz w:val="20"/>
    </w:rPr>
  </w:style>
  <w:style w:type="paragraph" w:customStyle="1" w:styleId="216">
    <w:name w:val="Char1 Char Char Char1"/>
    <w:basedOn w:val="1"/>
    <w:qFormat/>
    <w:uiPriority w:val="0"/>
    <w:rPr>
      <w:rFonts w:ascii="Tahoma" w:hAnsi="Tahoma"/>
      <w:sz w:val="24"/>
    </w:rPr>
  </w:style>
  <w:style w:type="paragraph" w:customStyle="1" w:styleId="217">
    <w:name w:val="样式1"/>
    <w:basedOn w:val="6"/>
    <w:qFormat/>
    <w:uiPriority w:val="0"/>
    <w:pPr>
      <w:numPr>
        <w:ilvl w:val="3"/>
        <w:numId w:val="7"/>
      </w:numPr>
      <w:adjustRightInd/>
      <w:spacing w:line="376" w:lineRule="auto"/>
    </w:pPr>
    <w:rPr>
      <w:b w:val="0"/>
      <w:sz w:val="24"/>
      <w:szCs w:val="28"/>
    </w:rPr>
  </w:style>
  <w:style w:type="paragraph" w:customStyle="1" w:styleId="218">
    <w:name w:val="正文K 标准"/>
    <w:qFormat/>
    <w:uiPriority w:val="0"/>
    <w:pPr>
      <w:widowControl w:val="0"/>
      <w:autoSpaceDE w:val="0"/>
      <w:autoSpaceDN w:val="0"/>
      <w:adjustRightInd w:val="0"/>
      <w:spacing w:line="340" w:lineRule="atLeast"/>
      <w:ind w:firstLine="428"/>
      <w:jc w:val="both"/>
    </w:pPr>
    <w:rPr>
      <w:rFonts w:ascii="汉仪楷体简" w:hAnsi="Times New Roman" w:eastAsia="汉仪楷体简" w:cs="汉仪楷体简"/>
      <w:sz w:val="21"/>
      <w:szCs w:val="21"/>
      <w:lang w:val="en-US" w:eastAsia="zh-CN" w:bidi="ar-SA"/>
    </w:rPr>
  </w:style>
  <w:style w:type="paragraph" w:customStyle="1" w:styleId="219">
    <w:name w:val="Char Char Char Char1"/>
    <w:basedOn w:val="1"/>
    <w:qFormat/>
    <w:uiPriority w:val="0"/>
    <w:pPr>
      <w:tabs>
        <w:tab w:val="left" w:pos="360"/>
      </w:tabs>
      <w:ind w:firstLine="420" w:firstLineChars="150"/>
    </w:pPr>
    <w:rPr>
      <w:rFonts w:ascii="Arial" w:hAnsi="Arial" w:cs="Arial"/>
      <w:sz w:val="20"/>
    </w:rPr>
  </w:style>
  <w:style w:type="paragraph" w:customStyle="1" w:styleId="220">
    <w:name w:val="小标题 3"/>
    <w:qFormat/>
    <w:uiPriority w:val="0"/>
    <w:pPr>
      <w:widowControl w:val="0"/>
      <w:autoSpaceDE w:val="0"/>
      <w:autoSpaceDN w:val="0"/>
      <w:adjustRightInd w:val="0"/>
      <w:spacing w:line="340" w:lineRule="atLeast"/>
      <w:ind w:firstLine="454"/>
    </w:pPr>
    <w:rPr>
      <w:rFonts w:ascii="汉仪魏碑简" w:hAnsi="Times New Roman" w:eastAsia="汉仪魏碑简" w:cs="汉仪魏碑简"/>
      <w:color w:val="000000"/>
      <w:spacing w:val="-15"/>
      <w:sz w:val="22"/>
      <w:szCs w:val="22"/>
      <w:lang w:val="en-US" w:eastAsia="zh-CN" w:bidi="ar-SA"/>
    </w:rPr>
  </w:style>
  <w:style w:type="paragraph" w:customStyle="1" w:styleId="221">
    <w:name w:val="font7"/>
    <w:basedOn w:val="1"/>
    <w:qFormat/>
    <w:uiPriority w:val="0"/>
    <w:pPr>
      <w:widowControl/>
      <w:spacing w:beforeAutospacing="1" w:afterAutospacing="1"/>
      <w:jc w:val="left"/>
    </w:pPr>
    <w:rPr>
      <w:kern w:val="0"/>
      <w:sz w:val="24"/>
    </w:rPr>
  </w:style>
  <w:style w:type="paragraph" w:customStyle="1" w:styleId="222">
    <w:name w:val="缺省文本"/>
    <w:basedOn w:val="1"/>
    <w:qFormat/>
    <w:uiPriority w:val="0"/>
    <w:pPr>
      <w:autoSpaceDE w:val="0"/>
      <w:autoSpaceDN w:val="0"/>
      <w:adjustRightInd w:val="0"/>
      <w:jc w:val="left"/>
    </w:pPr>
    <w:rPr>
      <w:kern w:val="0"/>
      <w:sz w:val="24"/>
      <w:szCs w:val="24"/>
    </w:rPr>
  </w:style>
  <w:style w:type="paragraph" w:customStyle="1" w:styleId="223">
    <w:name w:val="Char Char Char Char Char Char Char Char Char Char1"/>
    <w:basedOn w:val="1"/>
    <w:qFormat/>
    <w:uiPriority w:val="0"/>
    <w:pPr>
      <w:tabs>
        <w:tab w:val="left" w:pos="360"/>
      </w:tabs>
      <w:ind w:left="360" w:hanging="360" w:hangingChars="200"/>
    </w:pPr>
    <w:rPr>
      <w:sz w:val="24"/>
      <w:szCs w:val="24"/>
    </w:rPr>
  </w:style>
  <w:style w:type="paragraph" w:customStyle="1" w:styleId="224">
    <w:name w:val="彩色列表 - 强调文字颜色 11"/>
    <w:basedOn w:val="1"/>
    <w:qFormat/>
    <w:uiPriority w:val="0"/>
    <w:pPr>
      <w:ind w:firstLine="420" w:firstLineChars="200"/>
    </w:pPr>
    <w:rPr>
      <w:rFonts w:ascii="Calibri" w:hAnsi="Calibri"/>
      <w:szCs w:val="22"/>
    </w:rPr>
  </w:style>
  <w:style w:type="paragraph" w:customStyle="1" w:styleId="225">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26">
    <w:name w:val="reader-word-layer reader-word-s10-3"/>
    <w:basedOn w:val="1"/>
    <w:qFormat/>
    <w:uiPriority w:val="0"/>
    <w:pPr>
      <w:widowControl/>
      <w:spacing w:beforeAutospacing="1" w:afterAutospacing="1"/>
      <w:jc w:val="left"/>
    </w:pPr>
    <w:rPr>
      <w:rFonts w:ascii="宋体" w:hAnsi="宋体" w:cs="宋体"/>
      <w:kern w:val="0"/>
      <w:sz w:val="24"/>
      <w:szCs w:val="24"/>
    </w:rPr>
  </w:style>
  <w:style w:type="paragraph" w:customStyle="1" w:styleId="227">
    <w:name w:val="xl7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w:hAnsi="Arial"/>
      <w:kern w:val="0"/>
      <w:sz w:val="22"/>
    </w:rPr>
  </w:style>
  <w:style w:type="paragraph" w:customStyle="1" w:styleId="228">
    <w:name w:val="xl10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rPr>
  </w:style>
  <w:style w:type="paragraph" w:customStyle="1" w:styleId="229">
    <w:name w:val="Char1 Char Char Char Char Char Char"/>
    <w:basedOn w:val="1"/>
    <w:qFormat/>
    <w:uiPriority w:val="0"/>
    <w:rPr>
      <w:rFonts w:ascii="Tahoma" w:hAnsi="Tahoma"/>
      <w:sz w:val="24"/>
    </w:rPr>
  </w:style>
  <w:style w:type="paragraph" w:customStyle="1" w:styleId="23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31">
    <w:name w:val="font6"/>
    <w:basedOn w:val="1"/>
    <w:qFormat/>
    <w:uiPriority w:val="0"/>
    <w:pPr>
      <w:widowControl/>
      <w:spacing w:beforeAutospacing="1" w:afterAutospacing="1"/>
      <w:jc w:val="left"/>
    </w:pPr>
    <w:rPr>
      <w:rFonts w:hint="eastAsia" w:ascii="宋体" w:hAnsi="宋体"/>
      <w:kern w:val="0"/>
      <w:sz w:val="18"/>
    </w:rPr>
  </w:style>
  <w:style w:type="paragraph" w:customStyle="1" w:styleId="232">
    <w:name w:val="日期1"/>
    <w:basedOn w:val="1"/>
    <w:next w:val="1"/>
    <w:qFormat/>
    <w:uiPriority w:val="0"/>
    <w:pPr>
      <w:adjustRightInd w:val="0"/>
      <w:spacing w:line="312" w:lineRule="atLeast"/>
      <w:jc w:val="right"/>
      <w:textAlignment w:val="baseline"/>
    </w:pPr>
    <w:rPr>
      <w:b/>
      <w:kern w:val="0"/>
      <w:sz w:val="36"/>
    </w:rPr>
  </w:style>
  <w:style w:type="paragraph" w:customStyle="1" w:styleId="233">
    <w:name w:val="xl83"/>
    <w:basedOn w:val="1"/>
    <w:qFormat/>
    <w:uiPriority w:val="0"/>
    <w:pPr>
      <w:widowControl/>
      <w:pBdr>
        <w:bottom w:val="single" w:color="auto" w:sz="4" w:space="0"/>
      </w:pBdr>
      <w:spacing w:beforeAutospacing="1" w:afterAutospacing="1"/>
      <w:jc w:val="center"/>
      <w:textAlignment w:val="center"/>
    </w:pPr>
    <w:rPr>
      <w:rFonts w:ascii="宋体" w:hAnsi="宋体"/>
      <w:b/>
      <w:kern w:val="0"/>
      <w:sz w:val="32"/>
    </w:rPr>
  </w:style>
  <w:style w:type="paragraph" w:customStyle="1" w:styleId="234">
    <w:name w:val="xl3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w:hAnsi="Arial"/>
      <w:kern w:val="0"/>
      <w:sz w:val="22"/>
    </w:rPr>
  </w:style>
  <w:style w:type="paragraph" w:customStyle="1" w:styleId="23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36">
    <w:name w:val="font12"/>
    <w:basedOn w:val="1"/>
    <w:qFormat/>
    <w:uiPriority w:val="0"/>
    <w:pPr>
      <w:widowControl/>
      <w:spacing w:beforeAutospacing="1" w:afterAutospacing="1"/>
      <w:jc w:val="left"/>
    </w:pPr>
    <w:rPr>
      <w:rFonts w:ascii="Arial" w:hAnsi="Arial"/>
      <w:kern w:val="0"/>
      <w:sz w:val="22"/>
    </w:rPr>
  </w:style>
  <w:style w:type="paragraph" w:customStyle="1" w:styleId="237">
    <w:name w:val="Char2"/>
    <w:basedOn w:val="1"/>
    <w:qFormat/>
    <w:uiPriority w:val="0"/>
  </w:style>
  <w:style w:type="paragraph" w:customStyle="1" w:styleId="238">
    <w:name w:val="例文标题"/>
    <w:qFormat/>
    <w:uiPriority w:val="0"/>
    <w:pPr>
      <w:widowControl w:val="0"/>
      <w:autoSpaceDE w:val="0"/>
      <w:autoSpaceDN w:val="0"/>
      <w:adjustRightInd w:val="0"/>
      <w:spacing w:line="680" w:lineRule="atLeast"/>
      <w:jc w:val="center"/>
    </w:pPr>
    <w:rPr>
      <w:rFonts w:ascii="汉仪中黑简" w:hAnsi="Times New Roman" w:eastAsia="汉仪中黑简" w:cs="汉仪中黑简"/>
      <w:sz w:val="21"/>
      <w:szCs w:val="21"/>
      <w:lang w:val="en-US" w:eastAsia="zh-CN" w:bidi="ar-SA"/>
    </w:rPr>
  </w:style>
  <w:style w:type="paragraph" w:customStyle="1" w:styleId="239">
    <w:name w:val="xl12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0">
    <w:name w:val="正文 + 宋体"/>
    <w:basedOn w:val="1"/>
    <w:qFormat/>
    <w:uiPriority w:val="0"/>
    <w:pPr>
      <w:widowControl/>
      <w:tabs>
        <w:tab w:val="left" w:pos="927"/>
      </w:tabs>
      <w:ind w:left="360" w:hanging="360"/>
      <w:jc w:val="left"/>
    </w:pPr>
    <w:rPr>
      <w:rFonts w:ascii="宋体" w:hAnsi="宋体" w:cs="宋体"/>
      <w:b/>
      <w:bCs/>
      <w:color w:val="000000"/>
      <w:kern w:val="0"/>
      <w:sz w:val="18"/>
      <w:szCs w:val="18"/>
    </w:rPr>
  </w:style>
  <w:style w:type="paragraph" w:customStyle="1" w:styleId="241">
    <w:name w:val="xl4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w:hAnsi="Arial"/>
      <w:kern w:val="0"/>
      <w:sz w:val="22"/>
    </w:rPr>
  </w:style>
  <w:style w:type="paragraph" w:customStyle="1" w:styleId="24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243">
    <w:name w:val="Char Char Char Char2"/>
    <w:basedOn w:val="1"/>
    <w:qFormat/>
    <w:uiPriority w:val="0"/>
    <w:rPr>
      <w:rFonts w:ascii="Tahoma" w:hAnsi="Tahoma"/>
      <w:sz w:val="24"/>
    </w:rPr>
  </w:style>
  <w:style w:type="paragraph" w:customStyle="1" w:styleId="244">
    <w:name w:val="xl12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45">
    <w:name w:val="xl4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2"/>
    </w:rPr>
  </w:style>
  <w:style w:type="paragraph" w:customStyle="1" w:styleId="246">
    <w:name w:val="xl6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kern w:val="0"/>
      <w:sz w:val="24"/>
    </w:rPr>
  </w:style>
  <w:style w:type="paragraph" w:customStyle="1" w:styleId="247">
    <w:name w:val="xl3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kern w:val="0"/>
      <w:sz w:val="24"/>
    </w:rPr>
  </w:style>
  <w:style w:type="paragraph" w:customStyle="1" w:styleId="248">
    <w:name w:val="缩进项目"/>
    <w:basedOn w:val="1"/>
    <w:qFormat/>
    <w:uiPriority w:val="0"/>
    <w:pPr>
      <w:widowControl/>
      <w:numPr>
        <w:ilvl w:val="0"/>
        <w:numId w:val="7"/>
      </w:numPr>
      <w:tabs>
        <w:tab w:val="left" w:pos="1924"/>
      </w:tabs>
      <w:spacing w:line="400" w:lineRule="exact"/>
      <w:ind w:left="1924"/>
      <w:jc w:val="left"/>
      <w:outlineLvl w:val="0"/>
    </w:pPr>
    <w:rPr>
      <w:rFonts w:ascii="宋体"/>
      <w:color w:val="0000FF"/>
      <w:kern w:val="0"/>
      <w:sz w:val="24"/>
    </w:rPr>
  </w:style>
  <w:style w:type="paragraph" w:customStyle="1" w:styleId="249">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rPr>
  </w:style>
  <w:style w:type="paragraph" w:customStyle="1" w:styleId="251">
    <w:name w:val="Item List in Table"/>
    <w:basedOn w:val="1"/>
    <w:qFormat/>
    <w:uiPriority w:val="0"/>
    <w:pPr>
      <w:numPr>
        <w:ilvl w:val="0"/>
        <w:numId w:val="10"/>
      </w:numPr>
      <w:tabs>
        <w:tab w:val="left" w:pos="420"/>
        <w:tab w:val="clear" w:pos="454"/>
      </w:tabs>
      <w:ind w:left="420" w:hanging="420"/>
      <w:jc w:val="left"/>
    </w:pPr>
    <w:rPr>
      <w:szCs w:val="24"/>
    </w:rPr>
  </w:style>
  <w:style w:type="paragraph" w:customStyle="1" w:styleId="252">
    <w:name w:val="xl27"/>
    <w:basedOn w:val="1"/>
    <w:qFormat/>
    <w:uiPriority w:val="0"/>
    <w:pPr>
      <w:widowControl/>
      <w:spacing w:beforeAutospacing="1" w:afterAutospacing="1"/>
      <w:jc w:val="center"/>
      <w:textAlignment w:val="center"/>
    </w:pPr>
    <w:rPr>
      <w:rFonts w:ascii="宋体" w:hAnsi="宋体"/>
      <w:kern w:val="0"/>
      <w:sz w:val="24"/>
    </w:rPr>
  </w:style>
  <w:style w:type="paragraph" w:customStyle="1" w:styleId="253">
    <w:name w:val="我的征文"/>
    <w:basedOn w:val="1"/>
    <w:qFormat/>
    <w:uiPriority w:val="0"/>
    <w:pPr>
      <w:tabs>
        <w:tab w:val="left" w:pos="851"/>
      </w:tabs>
      <w:ind w:left="851" w:right="113" w:hanging="851"/>
    </w:pPr>
  </w:style>
  <w:style w:type="paragraph" w:customStyle="1" w:styleId="254">
    <w:name w:val="Char Char Char Char Char Char1 Char"/>
    <w:basedOn w:val="16"/>
    <w:qFormat/>
    <w:uiPriority w:val="0"/>
    <w:rPr>
      <w:rFonts w:ascii="Tahoma" w:hAnsi="Tahoma"/>
      <w:sz w:val="24"/>
      <w:szCs w:val="24"/>
    </w:rPr>
  </w:style>
  <w:style w:type="paragraph" w:customStyle="1" w:styleId="255">
    <w:name w:val="xl6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4"/>
    </w:rPr>
  </w:style>
  <w:style w:type="character" w:customStyle="1" w:styleId="256">
    <w:name w:val="lh15 s"/>
    <w:basedOn w:val="49"/>
    <w:qFormat/>
    <w:uiPriority w:val="0"/>
  </w:style>
  <w:style w:type="character" w:customStyle="1" w:styleId="257">
    <w:name w:val="普通(网站) Char Char"/>
    <w:link w:val="105"/>
    <w:qFormat/>
    <w:uiPriority w:val="0"/>
    <w:rPr>
      <w:rFonts w:ascii="宋体" w:hAnsi="宋体"/>
      <w:sz w:val="24"/>
      <w:lang w:bidi="ar-SA"/>
    </w:rPr>
  </w:style>
  <w:style w:type="character" w:customStyle="1" w:styleId="258">
    <w:name w:val="parameter"/>
    <w:basedOn w:val="49"/>
    <w:qFormat/>
    <w:uiPriority w:val="0"/>
  </w:style>
  <w:style w:type="character" w:customStyle="1" w:styleId="259">
    <w:name w:val="title_emph1"/>
    <w:qFormat/>
    <w:uiPriority w:val="0"/>
    <w:rPr>
      <w:rFonts w:hint="default" w:ascii="Arial" w:hAnsi="Arial"/>
      <w:b/>
      <w:sz w:val="18"/>
    </w:rPr>
  </w:style>
  <w:style w:type="character" w:customStyle="1" w:styleId="260">
    <w:name w:val="style11"/>
    <w:qFormat/>
    <w:uiPriority w:val="0"/>
    <w:rPr>
      <w:b/>
      <w:bCs/>
      <w:color w:val="669900"/>
    </w:rPr>
  </w:style>
  <w:style w:type="character" w:customStyle="1" w:styleId="261">
    <w:name w:val="页脚 Char"/>
    <w:link w:val="30"/>
    <w:qFormat/>
    <w:uiPriority w:val="0"/>
    <w:rPr>
      <w:rFonts w:eastAsia="宋体"/>
      <w:kern w:val="2"/>
      <w:sz w:val="18"/>
      <w:lang w:val="en-US" w:eastAsia="zh-CN" w:bidi="ar-SA"/>
    </w:rPr>
  </w:style>
  <w:style w:type="character" w:customStyle="1" w:styleId="262">
    <w:name w:val="navhead1"/>
    <w:qFormat/>
    <w:uiPriority w:val="0"/>
    <w:rPr>
      <w:rFonts w:hint="default" w:ascii="Verdana" w:hAnsi="Verdana"/>
      <w:b/>
      <w:bCs/>
      <w:color w:val="000066"/>
      <w:sz w:val="22"/>
      <w:szCs w:val="22"/>
      <w:u w:val="none"/>
      <w:shd w:val="clear" w:color="auto" w:fill="FFFFFF"/>
    </w:rPr>
  </w:style>
  <w:style w:type="character" w:customStyle="1" w:styleId="263">
    <w:name w:val="标题 3 Char"/>
    <w:link w:val="5"/>
    <w:qFormat/>
    <w:uiPriority w:val="9"/>
    <w:rPr>
      <w:rFonts w:eastAsia="宋体"/>
      <w:b/>
      <w:kern w:val="2"/>
      <w:sz w:val="32"/>
      <w:lang w:val="en-US" w:eastAsia="zh-CN"/>
    </w:rPr>
  </w:style>
  <w:style w:type="character" w:customStyle="1" w:styleId="264">
    <w:name w:val="para1"/>
    <w:qFormat/>
    <w:uiPriority w:val="0"/>
    <w:rPr>
      <w:rFonts w:hint="default" w:ascii="Arial" w:hAnsi="Arial"/>
      <w:sz w:val="18"/>
    </w:rPr>
  </w:style>
  <w:style w:type="character" w:customStyle="1" w:styleId="265">
    <w:name w:val="tit1"/>
    <w:qFormat/>
    <w:uiPriority w:val="0"/>
    <w:rPr>
      <w:rFonts w:hint="default" w:ascii="Arial" w:hAnsi="Arial" w:eastAsia="黑体" w:cs="Arial"/>
      <w:b/>
      <w:bCs/>
      <w:color w:val="000000"/>
      <w:sz w:val="21"/>
      <w:szCs w:val="21"/>
    </w:rPr>
  </w:style>
  <w:style w:type="character" w:customStyle="1" w:styleId="266">
    <w:name w:val="style1"/>
    <w:basedOn w:val="49"/>
    <w:qFormat/>
    <w:uiPriority w:val="0"/>
  </w:style>
  <w:style w:type="character" w:customStyle="1" w:styleId="267">
    <w:name w:val="point_normal1"/>
    <w:qFormat/>
    <w:uiPriority w:val="0"/>
    <w:rPr>
      <w:rFonts w:hint="default" w:ascii="Arial" w:hAnsi="Arial"/>
      <w:sz w:val="18"/>
    </w:rPr>
  </w:style>
  <w:style w:type="character" w:customStyle="1" w:styleId="268">
    <w:name w:val="纯文本 Char"/>
    <w:link w:val="25"/>
    <w:qFormat/>
    <w:uiPriority w:val="0"/>
    <w:rPr>
      <w:rFonts w:ascii="宋体" w:hAnsi="Courier New" w:eastAsia="宋体"/>
      <w:kern w:val="2"/>
      <w:sz w:val="24"/>
      <w:lang w:val="en-US" w:eastAsia="zh-CN" w:bidi="ar-SA"/>
    </w:rPr>
  </w:style>
  <w:style w:type="character" w:customStyle="1" w:styleId="269">
    <w:name w:val="breakword"/>
    <w:basedOn w:val="49"/>
    <w:qFormat/>
    <w:uiPriority w:val="0"/>
  </w:style>
  <w:style w:type="character" w:customStyle="1" w:styleId="270">
    <w:name w:val="me041"/>
    <w:qFormat/>
    <w:uiPriority w:val="0"/>
    <w:rPr>
      <w:color w:val="6F6F73"/>
      <w:sz w:val="18"/>
      <w:szCs w:val="18"/>
    </w:rPr>
  </w:style>
  <w:style w:type="character" w:customStyle="1" w:styleId="271">
    <w:name w:val="Plain Text Char"/>
    <w:basedOn w:val="49"/>
    <w:qFormat/>
    <w:locked/>
    <w:uiPriority w:val="0"/>
    <w:rPr>
      <w:rFonts w:ascii="宋体" w:hAnsi="Courier New" w:eastAsia="宋体" w:cs="Times New Roman"/>
      <w:sz w:val="21"/>
      <w:szCs w:val="21"/>
    </w:rPr>
  </w:style>
  <w:style w:type="character" w:customStyle="1" w:styleId="272">
    <w:name w:val="apple-style-span"/>
    <w:basedOn w:val="49"/>
    <w:qFormat/>
    <w:uiPriority w:val="0"/>
  </w:style>
  <w:style w:type="character" w:customStyle="1" w:styleId="273">
    <w:name w:val="blacksmm"/>
    <w:basedOn w:val="49"/>
    <w:qFormat/>
    <w:uiPriority w:val="0"/>
  </w:style>
  <w:style w:type="character" w:customStyle="1" w:styleId="274">
    <w:name w:val="Char Char33"/>
    <w:qFormat/>
    <w:uiPriority w:val="0"/>
    <w:rPr>
      <w:rFonts w:ascii="Arial" w:hAnsi="Arial" w:eastAsia="黑体"/>
      <w:b/>
      <w:kern w:val="2"/>
      <w:sz w:val="32"/>
      <w:lang w:val="en-US" w:eastAsia="zh-CN" w:bidi="ar-SA"/>
    </w:rPr>
  </w:style>
  <w:style w:type="character" w:customStyle="1" w:styleId="275">
    <w:name w:val="boldheader1"/>
    <w:qFormat/>
    <w:uiPriority w:val="0"/>
    <w:rPr>
      <w:rFonts w:hint="default" w:ascii="Verdana" w:hAnsi="Verdana"/>
      <w:b/>
      <w:bCs/>
      <w:color w:val="000066"/>
      <w:sz w:val="22"/>
      <w:szCs w:val="22"/>
      <w:u w:val="none"/>
    </w:rPr>
  </w:style>
  <w:style w:type="character" w:customStyle="1" w:styleId="276">
    <w:name w:val="text_line_height_201"/>
    <w:basedOn w:val="49"/>
    <w:qFormat/>
    <w:uiPriority w:val="0"/>
  </w:style>
  <w:style w:type="character" w:customStyle="1" w:styleId="277">
    <w:name w:val="blacksm"/>
    <w:basedOn w:val="49"/>
    <w:qFormat/>
    <w:uiPriority w:val="0"/>
  </w:style>
  <w:style w:type="character" w:customStyle="1" w:styleId="278">
    <w:name w:val="11pt"/>
    <w:basedOn w:val="49"/>
    <w:qFormat/>
    <w:uiPriority w:val="0"/>
  </w:style>
  <w:style w:type="character" w:customStyle="1" w:styleId="279">
    <w:name w:val="t31"/>
    <w:qFormat/>
    <w:uiPriority w:val="0"/>
    <w:rPr>
      <w:color w:val="000000"/>
      <w:sz w:val="21"/>
      <w:szCs w:val="21"/>
      <w:u w:val="none"/>
    </w:rPr>
  </w:style>
  <w:style w:type="character" w:customStyle="1" w:styleId="280">
    <w:name w:val="脚注文本 Char"/>
    <w:basedOn w:val="49"/>
    <w:link w:val="34"/>
    <w:qFormat/>
    <w:locked/>
    <w:uiPriority w:val="0"/>
    <w:rPr>
      <w:rFonts w:ascii="宋体" w:hAnsi="宋体" w:eastAsia="新宋体"/>
      <w:sz w:val="18"/>
      <w:szCs w:val="22"/>
      <w:lang w:val="en-US" w:eastAsia="zh-CN" w:bidi="ar-SA"/>
    </w:rPr>
  </w:style>
  <w:style w:type="character" w:customStyle="1" w:styleId="281">
    <w:name w:val="称呼 Char"/>
    <w:link w:val="18"/>
    <w:qFormat/>
    <w:uiPriority w:val="0"/>
    <w:rPr>
      <w:kern w:val="2"/>
      <w:sz w:val="21"/>
    </w:rPr>
  </w:style>
  <w:style w:type="character" w:customStyle="1" w:styleId="282">
    <w:name w:val="正文首行缩进 2 Char"/>
    <w:basedOn w:val="283"/>
    <w:link w:val="46"/>
    <w:qFormat/>
    <w:uiPriority w:val="0"/>
    <w:rPr>
      <w:rFonts w:ascii="宋体" w:hAnsi="宋体"/>
      <w:kern w:val="2"/>
      <w:sz w:val="24"/>
    </w:rPr>
  </w:style>
  <w:style w:type="character" w:customStyle="1" w:styleId="283">
    <w:name w:val="正文文本缩进 Char"/>
    <w:link w:val="21"/>
    <w:qFormat/>
    <w:uiPriority w:val="0"/>
    <w:rPr>
      <w:rFonts w:ascii="宋体" w:hAnsi="宋体"/>
      <w:kern w:val="2"/>
      <w:sz w:val="24"/>
    </w:rPr>
  </w:style>
  <w:style w:type="character" w:customStyle="1" w:styleId="284">
    <w:name w:val="Char Char3"/>
    <w:qFormat/>
    <w:uiPriority w:val="0"/>
    <w:rPr>
      <w:rFonts w:eastAsia="宋体"/>
      <w:b/>
      <w:bCs/>
      <w:kern w:val="2"/>
      <w:sz w:val="32"/>
      <w:szCs w:val="32"/>
      <w:lang w:val="en-US" w:eastAsia="zh-CN" w:bidi="ar-SA"/>
    </w:rPr>
  </w:style>
  <w:style w:type="character" w:customStyle="1" w:styleId="285">
    <w:name w:val="Table Text Char Char Char"/>
    <w:qFormat/>
    <w:uiPriority w:val="0"/>
    <w:rPr>
      <w:rFonts w:ascii="Arial" w:hAnsi="Arial" w:eastAsia="宋体" w:cs="Arial"/>
      <w:kern w:val="2"/>
      <w:sz w:val="18"/>
      <w:szCs w:val="21"/>
      <w:lang w:val="en-US" w:eastAsia="zh-CN" w:bidi="ar-SA"/>
    </w:rPr>
  </w:style>
  <w:style w:type="character" w:customStyle="1" w:styleId="286">
    <w:name w:val="标题 3 Char2"/>
    <w:qFormat/>
    <w:uiPriority w:val="0"/>
    <w:rPr>
      <w:rFonts w:eastAsia="宋体"/>
      <w:b/>
      <w:bCs/>
      <w:kern w:val="2"/>
      <w:sz w:val="32"/>
      <w:szCs w:val="32"/>
      <w:lang w:val="en-US" w:eastAsia="zh-CN" w:bidi="ar-SA"/>
    </w:rPr>
  </w:style>
  <w:style w:type="character" w:customStyle="1" w:styleId="287">
    <w:name w:val="tpc_content1"/>
    <w:qFormat/>
    <w:uiPriority w:val="0"/>
    <w:rPr>
      <w:sz w:val="15"/>
      <w:szCs w:val="15"/>
    </w:rPr>
  </w:style>
  <w:style w:type="character" w:customStyle="1" w:styleId="288">
    <w:name w:val="标题 2 Char"/>
    <w:link w:val="4"/>
    <w:qFormat/>
    <w:uiPriority w:val="0"/>
    <w:rPr>
      <w:rFonts w:ascii="Arial" w:hAnsi="Arial" w:eastAsia="黑体"/>
      <w:b/>
      <w:kern w:val="2"/>
      <w:sz w:val="32"/>
      <w:lang w:val="en-US" w:eastAsia="zh-CN" w:bidi="ar-SA"/>
    </w:rPr>
  </w:style>
  <w:style w:type="character" w:customStyle="1" w:styleId="289">
    <w:name w:val="h31"/>
    <w:qFormat/>
    <w:uiPriority w:val="0"/>
    <w:rPr>
      <w:sz w:val="21"/>
      <w:szCs w:val="21"/>
    </w:rPr>
  </w:style>
  <w:style w:type="character" w:customStyle="1" w:styleId="290">
    <w:name w:val="表格内容"/>
    <w:qFormat/>
    <w:uiPriority w:val="0"/>
    <w:rPr>
      <w:sz w:val="24"/>
    </w:rPr>
  </w:style>
  <w:style w:type="character" w:customStyle="1" w:styleId="291">
    <w:name w:val="Char Char5"/>
    <w:qFormat/>
    <w:uiPriority w:val="0"/>
    <w:rPr>
      <w:rFonts w:ascii="Arial" w:hAnsi="Arial" w:eastAsia="黑体"/>
      <w:b/>
      <w:kern w:val="2"/>
      <w:sz w:val="32"/>
      <w:lang w:val="en-US" w:eastAsia="zh-CN" w:bidi="ar-SA"/>
    </w:rPr>
  </w:style>
  <w:style w:type="character" w:customStyle="1" w:styleId="292">
    <w:name w:val="Table Text Char1"/>
    <w:qFormat/>
    <w:uiPriority w:val="0"/>
    <w:rPr>
      <w:rFonts w:ascii="Arial" w:hAnsi="Arial" w:eastAsia="宋体" w:cs="Arial"/>
      <w:kern w:val="2"/>
      <w:sz w:val="18"/>
      <w:szCs w:val="18"/>
      <w:lang w:val="en-US" w:eastAsia="zh-CN" w:bidi="ar-SA"/>
    </w:rPr>
  </w:style>
  <w:style w:type="character" w:customStyle="1" w:styleId="293">
    <w:name w:val="标题 Char"/>
    <w:basedOn w:val="49"/>
    <w:link w:val="43"/>
    <w:qFormat/>
    <w:locked/>
    <w:uiPriority w:val="0"/>
    <w:rPr>
      <w:rFonts w:ascii="Cambria" w:hAnsi="Cambria"/>
      <w:b/>
      <w:kern w:val="2"/>
      <w:sz w:val="32"/>
    </w:rPr>
  </w:style>
  <w:style w:type="paragraph" w:styleId="294">
    <w:name w:val="No Spacing"/>
    <w:link w:val="2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295">
    <w:name w:val="无间隔 Char"/>
    <w:basedOn w:val="49"/>
    <w:link w:val="294"/>
    <w:qFormat/>
    <w:uiPriority w:val="1"/>
    <w:rPr>
      <w:rFonts w:ascii="Calibri" w:hAnsi="Calibri"/>
      <w:kern w:val="2"/>
      <w:sz w:val="21"/>
      <w:szCs w:val="22"/>
    </w:rPr>
  </w:style>
  <w:style w:type="character" w:customStyle="1" w:styleId="296">
    <w:name w:val="button"/>
    <w:basedOn w:val="49"/>
    <w:qFormat/>
    <w:uiPriority w:val="0"/>
  </w:style>
  <w:style w:type="character" w:customStyle="1" w:styleId="297">
    <w:name w:val="hover3"/>
    <w:basedOn w:val="49"/>
    <w:qFormat/>
    <w:uiPriority w:val="0"/>
    <w:rPr>
      <w:shd w:val="clear" w:color="auto" w:fill="EEEEEE"/>
    </w:rPr>
  </w:style>
  <w:style w:type="character" w:customStyle="1" w:styleId="298">
    <w:name w:val="glyphicon4"/>
    <w:basedOn w:val="49"/>
    <w:qFormat/>
    <w:uiPriority w:val="0"/>
  </w:style>
  <w:style w:type="character" w:customStyle="1" w:styleId="299">
    <w:name w:val="tmpztreemove_arrow"/>
    <w:basedOn w:val="49"/>
    <w:qFormat/>
    <w:uiPriority w:val="0"/>
    <w:rPr>
      <w:shd w:val="clear" w:color="auto" w:fill="FFFFFF"/>
    </w:rPr>
  </w:style>
  <w:style w:type="character" w:customStyle="1" w:styleId="300">
    <w:name w:val="old"/>
    <w:basedOn w:val="49"/>
    <w:qFormat/>
    <w:uiPriority w:val="0"/>
    <w:rPr>
      <w:color w:val="999999"/>
    </w:rPr>
  </w:style>
  <w:style w:type="character" w:customStyle="1" w:styleId="301">
    <w:name w:val="hour_am"/>
    <w:basedOn w:val="49"/>
    <w:qFormat/>
    <w:uiPriority w:val="0"/>
  </w:style>
  <w:style w:type="character" w:customStyle="1" w:styleId="302">
    <w:name w:val="hour_pm"/>
    <w:basedOn w:val="49"/>
    <w:qFormat/>
    <w:uiPriority w:val="0"/>
  </w:style>
  <w:style w:type="character" w:customStyle="1" w:styleId="303">
    <w:name w:val="indent"/>
    <w:basedOn w:val="49"/>
    <w:qFormat/>
    <w:uiPriority w:val="0"/>
  </w:style>
  <w:style w:type="character" w:customStyle="1" w:styleId="304">
    <w:name w:val="标题 1 Char"/>
    <w:basedOn w:val="49"/>
    <w:link w:val="3"/>
    <w:qFormat/>
    <w:uiPriority w:val="0"/>
    <w:rPr>
      <w:b/>
      <w:kern w:val="2"/>
      <w:sz w:val="44"/>
    </w:rPr>
  </w:style>
  <w:style w:type="character" w:customStyle="1" w:styleId="305">
    <w:name w:val="hover34"/>
    <w:basedOn w:val="49"/>
    <w:qFormat/>
    <w:uiPriority w:val="0"/>
    <w:rPr>
      <w:color w:val="3EAF0E"/>
    </w:rPr>
  </w:style>
  <w:style w:type="character" w:customStyle="1" w:styleId="306">
    <w:name w:val="s1"/>
    <w:basedOn w:val="49"/>
    <w:qFormat/>
    <w:uiPriority w:val="0"/>
    <w:rPr>
      <w:color w:val="DDDDDD"/>
      <w:sz w:val="18"/>
      <w:szCs w:val="18"/>
    </w:rPr>
  </w:style>
  <w:style w:type="character" w:customStyle="1" w:styleId="307">
    <w:name w:val="mr-prof"/>
    <w:basedOn w:val="49"/>
    <w:qFormat/>
    <w:uiPriority w:val="0"/>
  </w:style>
  <w:style w:type="paragraph" w:customStyle="1" w:styleId="308">
    <w:name w:val="msonospacing"/>
    <w:basedOn w:val="1"/>
    <w:qFormat/>
    <w:uiPriority w:val="0"/>
    <w:rPr>
      <w:rFonts w:ascii="Calibri" w:hAnsi="Calibri"/>
      <w:szCs w:val="22"/>
    </w:rPr>
  </w:style>
  <w:style w:type="character" w:customStyle="1" w:styleId="309">
    <w:name w:val="标题 4 Char"/>
    <w:basedOn w:val="49"/>
    <w:link w:val="6"/>
    <w:qFormat/>
    <w:uiPriority w:val="0"/>
    <w:rPr>
      <w:rFonts w:ascii="Cambria" w:hAnsi="Cambria" w:eastAsia="宋体" w:cs="Times New Roman"/>
      <w:b/>
      <w:kern w:val="2"/>
      <w:sz w:val="28"/>
      <w:szCs w:val="28"/>
    </w:rPr>
  </w:style>
  <w:style w:type="paragraph" w:customStyle="1" w:styleId="310">
    <w:name w:val="ParaAttribute79"/>
    <w:basedOn w:val="1"/>
    <w:qFormat/>
    <w:uiPriority w:val="0"/>
    <w:pPr>
      <w:wordWrap w:val="0"/>
      <w:ind w:firstLine="840"/>
    </w:pPr>
    <w:rPr>
      <w:rFonts w:eastAsia="Batang"/>
      <w:kern w:val="0"/>
      <w:sz w:val="20"/>
    </w:rPr>
  </w:style>
  <w:style w:type="paragraph" w:customStyle="1" w:styleId="311">
    <w:name w:val="msolistparagraph"/>
    <w:basedOn w:val="1"/>
    <w:qFormat/>
    <w:uiPriority w:val="0"/>
    <w:pPr>
      <w:widowControl/>
      <w:ind w:firstLine="420" w:firstLineChars="200"/>
      <w:jc w:val="left"/>
    </w:pPr>
    <w:rPr>
      <w:rFonts w:ascii="Cambria" w:hAnsi="Cambria" w:eastAsia="微软雅黑"/>
      <w:kern w:val="20"/>
    </w:rPr>
  </w:style>
  <w:style w:type="character" w:customStyle="1" w:styleId="312">
    <w:name w:val="列出段落 Char"/>
    <w:basedOn w:val="49"/>
    <w:qFormat/>
    <w:uiPriority w:val="0"/>
    <w:rPr>
      <w:rFonts w:hint="default" w:ascii="Cambria" w:hAnsi="Cambria" w:eastAsia="微软雅黑" w:cs="Cambria"/>
      <w:kern w:val="20"/>
      <w:sz w:val="21"/>
      <w:lang w:val="zh-CN"/>
    </w:rPr>
  </w:style>
  <w:style w:type="character" w:customStyle="1" w:styleId="313">
    <w:name w:val="纯文本 Char1"/>
    <w:basedOn w:val="49"/>
    <w:link w:val="25"/>
    <w:qFormat/>
    <w:uiPriority w:val="0"/>
    <w:rPr>
      <w:rFonts w:hint="eastAsia" w:ascii="宋体" w:hAnsi="Courier New" w:eastAsia="宋体" w:cs="Courier New"/>
      <w:kern w:val="2"/>
      <w:sz w:val="21"/>
      <w:szCs w:val="21"/>
    </w:rPr>
  </w:style>
  <w:style w:type="paragraph" w:customStyle="1" w:styleId="314">
    <w:name w:val="正文段落"/>
    <w:qFormat/>
    <w:uiPriority w:val="99"/>
    <w:pPr>
      <w:widowControl w:val="0"/>
      <w:adjustRightInd w:val="0"/>
      <w:snapToGrid w:val="0"/>
      <w:spacing w:line="300" w:lineRule="auto"/>
      <w:ind w:firstLine="560" w:firstLineChars="200"/>
      <w:jc w:val="both"/>
      <w:textAlignment w:val="baseline"/>
    </w:pPr>
    <w:rPr>
      <w:rFonts w:ascii="Calibri" w:hAnsi="Calibri" w:eastAsia="宋体" w:cs="Times New Roman"/>
      <w:kern w:val="28"/>
      <w:sz w:val="28"/>
      <w:szCs w:val="20"/>
      <w:lang w:val="en-US" w:eastAsia="zh-CN" w:bidi="ar-SA"/>
    </w:rPr>
  </w:style>
  <w:style w:type="paragraph" w:customStyle="1" w:styleId="315">
    <w:name w:val="title1"/>
    <w:basedOn w:val="1"/>
    <w:uiPriority w:val="0"/>
    <w:pPr>
      <w:spacing w:before="150" w:beforeAutospacing="0" w:after="0" w:afterAutospacing="0"/>
      <w:ind w:left="0" w:right="0" w:firstLine="0"/>
      <w:jc w:val="left"/>
    </w:pPr>
    <w:rPr>
      <w:b/>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textRotate="1"/>
    <customShpInfo spid="_x0000_s4099" textRotate="1"/>
    <customShpInfo spid="_x0000_s4097" textRotate="1"/>
    <customShpInfo spid="_x0000_s410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A5DC7-C5A4-4E5C-96DB-4C9CEF214BD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6899</Words>
  <Characters>39327</Characters>
  <Lines>327</Lines>
  <Paragraphs>92</Paragraphs>
  <TotalTime>1</TotalTime>
  <ScaleCrop>false</ScaleCrop>
  <LinksUpToDate>false</LinksUpToDate>
  <CharactersWithSpaces>46134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2017-07-09T11:38:00Z</dcterms:created>
  <dc:creator>郭大军</dc:creator>
  <cp:lastModifiedBy>张天鹏</cp:lastModifiedBy>
  <cp:lastPrinted>2019-11-05T02:16:00Z</cp:lastPrinted>
  <dcterms:modified xsi:type="dcterms:W3CDTF">2019-11-07T02:36:57Z</dcterms:modified>
  <dc:title>                                     </dc:title>
  <cp:revision>348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