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A5E28">
      <w:pPr>
        <w:pStyle w:val="2"/>
        <w:pageBreakBefore w:val="0"/>
        <w:spacing w:before="0" w:beforeLines="0" w:after="0"/>
        <w:jc w:val="center"/>
        <w:rPr>
          <w:rFonts w:hint="eastAsia" w:ascii="仿宋" w:hAnsi="仿宋" w:eastAsia="仿宋" w:cs="仿宋"/>
          <w:b/>
          <w:szCs w:val="36"/>
          <w:lang w:val="en-US" w:eastAsia="zh-CN"/>
        </w:rPr>
      </w:pPr>
      <w:r>
        <w:rPr>
          <w:rFonts w:hint="eastAsia" w:ascii="仿宋" w:hAnsi="仿宋" w:eastAsia="仿宋" w:cs="仿宋"/>
          <w:b/>
          <w:szCs w:val="36"/>
        </w:rPr>
        <w:t>宁夏回族自治区消防救援总队</w:t>
      </w:r>
      <w:r>
        <w:rPr>
          <w:rFonts w:hint="eastAsia" w:ascii="仿宋" w:hAnsi="仿宋" w:eastAsia="仿宋" w:cs="仿宋"/>
          <w:b/>
          <w:szCs w:val="36"/>
          <w:lang w:val="en-US" w:eastAsia="zh-CN"/>
        </w:rPr>
        <w:t>2024年度灭火救援车辆装备集中采购</w:t>
      </w:r>
      <w:r>
        <w:rPr>
          <w:rFonts w:hint="eastAsia" w:ascii="仿宋" w:hAnsi="仿宋" w:eastAsia="仿宋" w:cs="仿宋"/>
          <w:b/>
          <w:szCs w:val="36"/>
        </w:rPr>
        <w:t>项目</w:t>
      </w:r>
      <w:r>
        <w:rPr>
          <w:rFonts w:hint="eastAsia" w:ascii="仿宋" w:hAnsi="仿宋" w:eastAsia="仿宋" w:cs="仿宋"/>
          <w:b/>
          <w:szCs w:val="36"/>
          <w:lang w:val="en-US" w:eastAsia="zh-CN"/>
        </w:rPr>
        <w:t>（三次）</w:t>
      </w:r>
    </w:p>
    <w:p w14:paraId="539ACA46">
      <w:pPr>
        <w:outlineLvl w:val="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sz w:val="28"/>
          <w:szCs w:val="28"/>
        </w:rPr>
        <w:t>一、商务需求</w:t>
      </w:r>
    </w:p>
    <w:tbl>
      <w:tblPr>
        <w:tblStyle w:val="11"/>
        <w:tblW w:w="5993" w:type="pct"/>
        <w:tblInd w:w="-9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975"/>
        <w:gridCol w:w="8437"/>
      </w:tblGrid>
      <w:tr w14:paraId="2B36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shd w:val="clear" w:color="auto" w:fill="FFFFFF" w:themeFill="background1"/>
            <w:vAlign w:val="center"/>
          </w:tcPr>
          <w:p w14:paraId="525E3A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序号</w:t>
            </w:r>
          </w:p>
        </w:tc>
        <w:tc>
          <w:tcPr>
            <w:tcW w:w="476" w:type="pct"/>
            <w:shd w:val="clear" w:color="auto" w:fill="FFFFFF" w:themeFill="background1"/>
            <w:vAlign w:val="center"/>
          </w:tcPr>
          <w:p w14:paraId="576475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内容</w:t>
            </w:r>
          </w:p>
        </w:tc>
        <w:tc>
          <w:tcPr>
            <w:tcW w:w="4126" w:type="pct"/>
            <w:shd w:val="clear" w:color="auto" w:fill="FFFFFF" w:themeFill="background1"/>
            <w:vAlign w:val="center"/>
          </w:tcPr>
          <w:p w14:paraId="142B0C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说明</w:t>
            </w:r>
          </w:p>
        </w:tc>
      </w:tr>
      <w:tr w14:paraId="00D2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3AC317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1</w:t>
            </w:r>
          </w:p>
        </w:tc>
        <w:tc>
          <w:tcPr>
            <w:tcW w:w="476" w:type="pct"/>
            <w:vAlign w:val="center"/>
          </w:tcPr>
          <w:p w14:paraId="624DF5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投标人资质</w:t>
            </w:r>
          </w:p>
        </w:tc>
        <w:tc>
          <w:tcPr>
            <w:tcW w:w="4126" w:type="pct"/>
            <w:vAlign w:val="center"/>
          </w:tcPr>
          <w:p w14:paraId="26995D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1.满足《中华人民共和国政府采购法》第二十二条规定；</w:t>
            </w:r>
          </w:p>
          <w:p w14:paraId="5C68DB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2.本项目资格要求：</w:t>
            </w:r>
          </w:p>
          <w:p w14:paraId="0C2F33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（1）投标人提供在中华人民共和国境内注册的法人或其他组织的营业执照（或事业单位法人证书，或社会团体法人登记证书），如投标供应商为自然人的需提供自然人身份证明；</w:t>
            </w:r>
          </w:p>
          <w:p w14:paraId="0AD576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（2）法人授权委托书、法定代表人及被授权人身份证复印件（法定代表人直接投标可不提供，但须提供法定代表人身份证复印件）；</w:t>
            </w:r>
          </w:p>
          <w:p w14:paraId="6D5F57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（3）投标人提供具有良好商业信誉和健全的财务会计制度的证明材料或承诺函； </w:t>
            </w:r>
          </w:p>
          <w:p w14:paraId="79F0BD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（4）投标人提供履行合同所需的设备和专业技术能力的证明材料或承诺函； </w:t>
            </w:r>
          </w:p>
          <w:p w14:paraId="0FDDD7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（5）投标人提供具有依法缴纳税收和社会保障资金的良好记录的证明材料或承诺函； </w:t>
            </w:r>
          </w:p>
          <w:p w14:paraId="636087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（6）投标人提供参加采购活动前三年内在经营活动中没有重大违法记录的证明材料或承诺函；</w:t>
            </w:r>
          </w:p>
          <w:p w14:paraId="5474A9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注：（3）、（4）、（5）、（6）条款投标供应商可自行选择是否对应提供承诺函，若不提供承诺函，应按《中华人民共和国政府采购法》《中华人民共和国政府采购法实施条例》及采购文件资格要求提供相应的证明材料</w:t>
            </w:r>
            <w:r>
              <w:rPr>
                <w:rFonts w:hint="eastAsia" w:ascii="仿宋" w:hAnsi="仿宋" w:eastAsia="仿宋" w:cs="仿宋"/>
                <w:sz w:val="24"/>
                <w:szCs w:val="24"/>
                <w:lang w:eastAsia="zh-CN"/>
              </w:rPr>
              <w:t>。</w:t>
            </w:r>
          </w:p>
          <w:p w14:paraId="09A2C9B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7）投标人提供近三年内无涉及行贿等重大违法案件承诺函。（本项必须提供承诺函）；</w:t>
            </w:r>
          </w:p>
          <w:p w14:paraId="162D6C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bidi="en-US"/>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）“信用中国网”(www.creditchina.gov.cn)信用信息和“中国政府采购网”(www.ccgp.gov.cn)政府采购严重违法失信行为信息记录（以代理公司在开标当日查询信息为准）</w:t>
            </w:r>
          </w:p>
        </w:tc>
      </w:tr>
      <w:tr w14:paraId="03D4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00FBDF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2</w:t>
            </w:r>
          </w:p>
        </w:tc>
        <w:tc>
          <w:tcPr>
            <w:tcW w:w="476" w:type="pct"/>
            <w:vAlign w:val="center"/>
          </w:tcPr>
          <w:p w14:paraId="492921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文件递交要求</w:t>
            </w:r>
          </w:p>
        </w:tc>
        <w:tc>
          <w:tcPr>
            <w:tcW w:w="4126" w:type="pct"/>
            <w:vAlign w:val="center"/>
          </w:tcPr>
          <w:p w14:paraId="5330DB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本项目采用网上"不见面开标"方式，各投标供应商无需到开标现场参加开标活动，使用CA锁于提交投标文件截止时间前</w:t>
            </w:r>
            <w:r>
              <w:rPr>
                <w:rFonts w:hint="eastAsia" w:ascii="仿宋" w:hAnsi="仿宋" w:eastAsia="仿宋" w:cs="仿宋"/>
                <w:b/>
                <w:bCs/>
                <w:sz w:val="24"/>
                <w:szCs w:val="24"/>
              </w:rPr>
              <w:t>至少一小时进入</w:t>
            </w:r>
            <w:r>
              <w:rPr>
                <w:rFonts w:hint="eastAsia" w:ascii="仿宋" w:hAnsi="仿宋" w:eastAsia="仿宋" w:cs="仿宋"/>
                <w:sz w:val="24"/>
                <w:szCs w:val="24"/>
              </w:rPr>
              <w:t>"宁夏不见面开标大厅"系统在线参与本项目开标，完成在线签到、远程解密投标文件。投标文件应由投标人法定代表人或授权代理人进行解锁，逾期上传、未成功签到或未解锁的投标文件招标人将予以拒收。</w:t>
            </w:r>
          </w:p>
        </w:tc>
      </w:tr>
      <w:tr w14:paraId="2961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6A791F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w:t>
            </w:r>
          </w:p>
        </w:tc>
        <w:tc>
          <w:tcPr>
            <w:tcW w:w="476" w:type="pct"/>
            <w:vAlign w:val="center"/>
          </w:tcPr>
          <w:p w14:paraId="2D381B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开标地点</w:t>
            </w:r>
          </w:p>
        </w:tc>
        <w:tc>
          <w:tcPr>
            <w:tcW w:w="4126" w:type="pct"/>
            <w:vAlign w:val="center"/>
          </w:tcPr>
          <w:p w14:paraId="68E881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宁夏回族自治区公共资源交易服务中心：本项目采用网上不见面开标方式，投标供应商须使用 CA 锁登录宁夏不见面标大厅进入本项目，按要求准时参加开标会议。</w:t>
            </w:r>
          </w:p>
          <w:p w14:paraId="5D0882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（系统网址：http://zfcg.nxggzyjy.org:9023/BidOpening_cg/bidhall/default/login.html）</w:t>
            </w:r>
          </w:p>
        </w:tc>
      </w:tr>
      <w:tr w14:paraId="2C4F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10A40C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4</w:t>
            </w:r>
          </w:p>
        </w:tc>
        <w:tc>
          <w:tcPr>
            <w:tcW w:w="476" w:type="pct"/>
            <w:vAlign w:val="center"/>
          </w:tcPr>
          <w:p w14:paraId="509B6C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标包划分</w:t>
            </w:r>
          </w:p>
        </w:tc>
        <w:tc>
          <w:tcPr>
            <w:tcW w:w="4126" w:type="pct"/>
            <w:vAlign w:val="center"/>
          </w:tcPr>
          <w:p w14:paraId="310F44B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以最终采购文件划分为准</w:t>
            </w:r>
          </w:p>
        </w:tc>
      </w:tr>
      <w:tr w14:paraId="1937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0C02C9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5</w:t>
            </w:r>
          </w:p>
        </w:tc>
        <w:tc>
          <w:tcPr>
            <w:tcW w:w="476" w:type="pct"/>
            <w:vAlign w:val="center"/>
          </w:tcPr>
          <w:p w14:paraId="66F042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核心产品</w:t>
            </w:r>
          </w:p>
        </w:tc>
        <w:tc>
          <w:tcPr>
            <w:tcW w:w="4126" w:type="pct"/>
            <w:vAlign w:val="center"/>
          </w:tcPr>
          <w:p w14:paraId="38C2E2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bidi="en-US"/>
              </w:rPr>
            </w:pPr>
            <w:r>
              <w:rPr>
                <w:rFonts w:hint="eastAsia" w:ascii="仿宋" w:hAnsi="仿宋" w:eastAsia="仿宋" w:cs="仿宋"/>
                <w:bCs/>
                <w:sz w:val="24"/>
                <w:szCs w:val="24"/>
              </w:rPr>
              <w:t>详见技术指标、参数表。</w:t>
            </w:r>
          </w:p>
        </w:tc>
      </w:tr>
      <w:tr w14:paraId="362D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07CB3C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6</w:t>
            </w:r>
          </w:p>
        </w:tc>
        <w:tc>
          <w:tcPr>
            <w:tcW w:w="476" w:type="pct"/>
            <w:vAlign w:val="center"/>
          </w:tcPr>
          <w:p w14:paraId="485743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对中小企业的资质要求</w:t>
            </w:r>
          </w:p>
        </w:tc>
        <w:tc>
          <w:tcPr>
            <w:tcW w:w="4126" w:type="pct"/>
            <w:vAlign w:val="center"/>
          </w:tcPr>
          <w:p w14:paraId="641B17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bidi="en-US"/>
              </w:rPr>
            </w:pPr>
            <w:r>
              <w:rPr>
                <w:rFonts w:hint="eastAsia" w:ascii="仿宋" w:hAnsi="仿宋" w:eastAsia="仿宋" w:cs="仿宋"/>
                <w:bCs/>
                <w:sz w:val="24"/>
                <w:szCs w:val="24"/>
              </w:rPr>
              <w:t>详见技术指标、参数表。</w:t>
            </w:r>
          </w:p>
        </w:tc>
      </w:tr>
      <w:tr w14:paraId="15E5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2C38E8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7</w:t>
            </w:r>
          </w:p>
        </w:tc>
        <w:tc>
          <w:tcPr>
            <w:tcW w:w="476" w:type="pct"/>
            <w:vAlign w:val="center"/>
          </w:tcPr>
          <w:p w14:paraId="5459C8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是否允许联合体投标</w:t>
            </w:r>
          </w:p>
        </w:tc>
        <w:tc>
          <w:tcPr>
            <w:tcW w:w="4126" w:type="pct"/>
            <w:vAlign w:val="center"/>
          </w:tcPr>
          <w:p w14:paraId="5EA623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bidi="en-US"/>
              </w:rPr>
            </w:pPr>
            <w:r>
              <w:rPr>
                <w:rFonts w:hint="eastAsia" w:ascii="仿宋" w:hAnsi="仿宋" w:eastAsia="仿宋" w:cs="仿宋"/>
                <w:bCs/>
                <w:sz w:val="24"/>
                <w:szCs w:val="24"/>
              </w:rPr>
              <w:t>否</w:t>
            </w:r>
          </w:p>
        </w:tc>
      </w:tr>
      <w:tr w14:paraId="2F1B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4395BA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8</w:t>
            </w:r>
          </w:p>
        </w:tc>
        <w:tc>
          <w:tcPr>
            <w:tcW w:w="476" w:type="pct"/>
            <w:vAlign w:val="center"/>
          </w:tcPr>
          <w:p w14:paraId="31B6DB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是否允许进口产品投标</w:t>
            </w:r>
          </w:p>
        </w:tc>
        <w:tc>
          <w:tcPr>
            <w:tcW w:w="4126" w:type="pct"/>
            <w:vAlign w:val="center"/>
          </w:tcPr>
          <w:p w14:paraId="25AEDE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bidi="en-US"/>
              </w:rPr>
            </w:pPr>
            <w:r>
              <w:rPr>
                <w:rFonts w:hint="eastAsia" w:ascii="仿宋" w:hAnsi="仿宋" w:eastAsia="仿宋" w:cs="仿宋"/>
                <w:bCs/>
                <w:sz w:val="24"/>
                <w:szCs w:val="24"/>
              </w:rPr>
              <w:t>否</w:t>
            </w:r>
          </w:p>
        </w:tc>
      </w:tr>
      <w:tr w14:paraId="0C8F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085FB3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9</w:t>
            </w:r>
          </w:p>
        </w:tc>
        <w:tc>
          <w:tcPr>
            <w:tcW w:w="476" w:type="pct"/>
            <w:vAlign w:val="center"/>
          </w:tcPr>
          <w:p w14:paraId="41DE13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是否需要现场考察</w:t>
            </w:r>
          </w:p>
        </w:tc>
        <w:tc>
          <w:tcPr>
            <w:tcW w:w="4126" w:type="pct"/>
            <w:vAlign w:val="center"/>
          </w:tcPr>
          <w:p w14:paraId="136CE1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bidi="en-US"/>
              </w:rPr>
            </w:pPr>
            <w:r>
              <w:rPr>
                <w:rFonts w:hint="eastAsia" w:ascii="仿宋" w:hAnsi="仿宋" w:eastAsia="仿宋" w:cs="仿宋"/>
                <w:bCs/>
                <w:sz w:val="24"/>
                <w:szCs w:val="24"/>
              </w:rPr>
              <w:t>否</w:t>
            </w:r>
          </w:p>
        </w:tc>
      </w:tr>
      <w:tr w14:paraId="7F2B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53BFE2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10</w:t>
            </w:r>
          </w:p>
        </w:tc>
        <w:tc>
          <w:tcPr>
            <w:tcW w:w="476" w:type="pct"/>
            <w:vAlign w:val="center"/>
          </w:tcPr>
          <w:p w14:paraId="305772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采购人信息</w:t>
            </w:r>
          </w:p>
        </w:tc>
        <w:tc>
          <w:tcPr>
            <w:tcW w:w="4126" w:type="pct"/>
            <w:vAlign w:val="center"/>
          </w:tcPr>
          <w:p w14:paraId="56B4337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采购人：宁夏回族自治区消防救援总队</w:t>
            </w:r>
          </w:p>
          <w:p w14:paraId="67F528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Cs/>
                <w:sz w:val="24"/>
                <w:szCs w:val="24"/>
                <w:lang w:val="en-US" w:eastAsia="zh-CN"/>
              </w:rPr>
            </w:pPr>
            <w:r>
              <w:rPr>
                <w:rFonts w:hint="eastAsia" w:ascii="仿宋" w:hAnsi="仿宋" w:eastAsia="仿宋" w:cs="仿宋"/>
                <w:bCs/>
                <w:sz w:val="24"/>
                <w:szCs w:val="24"/>
              </w:rPr>
              <w:t>电 话：</w:t>
            </w:r>
            <w:r>
              <w:rPr>
                <w:rFonts w:hint="eastAsia" w:ascii="仿宋" w:hAnsi="仿宋" w:eastAsia="仿宋" w:cs="仿宋"/>
                <w:bCs/>
                <w:sz w:val="24"/>
                <w:szCs w:val="24"/>
                <w:lang w:val="en-US" w:eastAsia="zh-CN"/>
              </w:rPr>
              <w:t>韩先生 0951-5057636</w:t>
            </w:r>
          </w:p>
          <w:p w14:paraId="78198D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lang w:bidi="en-US"/>
              </w:rPr>
            </w:pPr>
            <w:r>
              <w:rPr>
                <w:rFonts w:hint="eastAsia" w:ascii="仿宋" w:hAnsi="仿宋" w:eastAsia="仿宋" w:cs="仿宋"/>
                <w:bCs/>
                <w:sz w:val="24"/>
                <w:szCs w:val="24"/>
              </w:rPr>
              <w:t xml:space="preserve">电子邮箱:9541355@qq.com </w:t>
            </w:r>
          </w:p>
        </w:tc>
      </w:tr>
      <w:tr w14:paraId="2B5A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52A50B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11</w:t>
            </w:r>
          </w:p>
        </w:tc>
        <w:tc>
          <w:tcPr>
            <w:tcW w:w="476" w:type="pct"/>
            <w:vAlign w:val="center"/>
          </w:tcPr>
          <w:p w14:paraId="342933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预算金额，最高限价</w:t>
            </w:r>
          </w:p>
        </w:tc>
        <w:tc>
          <w:tcPr>
            <w:tcW w:w="4126" w:type="pct"/>
            <w:vAlign w:val="center"/>
          </w:tcPr>
          <w:p w14:paraId="730653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bidi="en-US"/>
              </w:rPr>
            </w:pPr>
            <w:r>
              <w:rPr>
                <w:rFonts w:hint="eastAsia" w:ascii="仿宋" w:hAnsi="仿宋" w:eastAsia="仿宋" w:cs="仿宋"/>
                <w:bCs/>
                <w:sz w:val="24"/>
                <w:szCs w:val="24"/>
              </w:rPr>
              <w:t>详见技术指标、参数表。</w:t>
            </w:r>
          </w:p>
        </w:tc>
      </w:tr>
      <w:tr w14:paraId="255A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613259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12</w:t>
            </w:r>
          </w:p>
        </w:tc>
        <w:tc>
          <w:tcPr>
            <w:tcW w:w="476" w:type="pct"/>
            <w:vAlign w:val="center"/>
          </w:tcPr>
          <w:p w14:paraId="31ECCF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项目履约时间</w:t>
            </w:r>
          </w:p>
        </w:tc>
        <w:tc>
          <w:tcPr>
            <w:tcW w:w="4126" w:type="pct"/>
            <w:vAlign w:val="center"/>
          </w:tcPr>
          <w:p w14:paraId="32B1F1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bidi="en-US"/>
              </w:rPr>
            </w:pPr>
            <w:r>
              <w:rPr>
                <w:rFonts w:hint="eastAsia" w:ascii="仿宋" w:hAnsi="仿宋" w:eastAsia="仿宋" w:cs="仿宋"/>
                <w:bCs/>
                <w:sz w:val="24"/>
                <w:szCs w:val="24"/>
                <w:lang w:val="en-US" w:eastAsia="zh-CN" w:bidi="en-US"/>
              </w:rPr>
              <w:t>交货期：15、16标包自合同签订之日起270日历天，其余标包合同签订之日起150日历天。该项目资金来源为财政资金，因资金使用要求，投标人应充分考虑自身供货能力，严格执行供货周期，逾期供货将严格追究违约责任。</w:t>
            </w:r>
          </w:p>
        </w:tc>
      </w:tr>
      <w:tr w14:paraId="1EE1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3872EA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13</w:t>
            </w:r>
          </w:p>
        </w:tc>
        <w:tc>
          <w:tcPr>
            <w:tcW w:w="476" w:type="pct"/>
            <w:vAlign w:val="center"/>
          </w:tcPr>
          <w:p w14:paraId="43055B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项目履约地点</w:t>
            </w:r>
          </w:p>
        </w:tc>
        <w:tc>
          <w:tcPr>
            <w:tcW w:w="4126" w:type="pct"/>
            <w:vAlign w:val="center"/>
          </w:tcPr>
          <w:p w14:paraId="21ECAE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eastAsia="zh-CN" w:bidi="en-US"/>
              </w:rPr>
            </w:pPr>
            <w:r>
              <w:rPr>
                <w:rFonts w:hint="eastAsia" w:ascii="仿宋" w:hAnsi="仿宋" w:eastAsia="仿宋" w:cs="仿宋"/>
                <w:bCs/>
                <w:sz w:val="24"/>
                <w:szCs w:val="24"/>
                <w:lang w:val="en-US" w:eastAsia="zh-CN" w:bidi="en-US"/>
              </w:rPr>
              <w:t>宁夏银川市西夏区镇芦路1号，</w:t>
            </w:r>
            <w:r>
              <w:rPr>
                <w:rFonts w:hint="eastAsia" w:ascii="仿宋" w:hAnsi="仿宋" w:eastAsia="仿宋" w:cs="仿宋"/>
                <w:bCs/>
                <w:sz w:val="24"/>
                <w:szCs w:val="24"/>
                <w:lang w:bidi="en-US"/>
              </w:rPr>
              <w:t>宁夏回族自治区消防救援总队训练与战勤保障支队</w:t>
            </w:r>
            <w:r>
              <w:rPr>
                <w:rFonts w:hint="eastAsia" w:ascii="仿宋" w:hAnsi="仿宋" w:eastAsia="仿宋" w:cs="仿宋"/>
                <w:bCs/>
                <w:sz w:val="24"/>
                <w:szCs w:val="24"/>
                <w:lang w:val="en-US" w:eastAsia="zh-CN" w:bidi="en-US"/>
              </w:rPr>
              <w:t>院内</w:t>
            </w:r>
          </w:p>
        </w:tc>
      </w:tr>
      <w:tr w14:paraId="7E49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28A259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14</w:t>
            </w:r>
          </w:p>
        </w:tc>
        <w:tc>
          <w:tcPr>
            <w:tcW w:w="476" w:type="pct"/>
            <w:vAlign w:val="center"/>
          </w:tcPr>
          <w:p w14:paraId="47F049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采购标的对应的中小企业划分标准所属行业</w:t>
            </w:r>
          </w:p>
        </w:tc>
        <w:tc>
          <w:tcPr>
            <w:tcW w:w="4126" w:type="pct"/>
            <w:vAlign w:val="center"/>
          </w:tcPr>
          <w:p w14:paraId="29F72B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工业（包括采矿业，制造业，电力、热力、燃气及水生产和供应业）。</w:t>
            </w:r>
          </w:p>
        </w:tc>
      </w:tr>
      <w:tr w14:paraId="7CB5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7E3A6F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lang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5</w:t>
            </w:r>
          </w:p>
        </w:tc>
        <w:tc>
          <w:tcPr>
            <w:tcW w:w="476" w:type="pct"/>
            <w:vAlign w:val="center"/>
          </w:tcPr>
          <w:p w14:paraId="346186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是否收取履约保证金</w:t>
            </w:r>
          </w:p>
        </w:tc>
        <w:tc>
          <w:tcPr>
            <w:tcW w:w="4126" w:type="pct"/>
            <w:vAlign w:val="center"/>
          </w:tcPr>
          <w:p w14:paraId="7A121E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是，收取合同金额的10%作为履约保证金，合同签订后30个工作日内以银行保函或转账形式缴纳。</w:t>
            </w:r>
          </w:p>
        </w:tc>
      </w:tr>
      <w:tr w14:paraId="5B02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6" w:type="pct"/>
            <w:vAlign w:val="center"/>
          </w:tcPr>
          <w:p w14:paraId="35FFD6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16</w:t>
            </w:r>
          </w:p>
        </w:tc>
        <w:tc>
          <w:tcPr>
            <w:tcW w:w="476" w:type="pct"/>
            <w:vAlign w:val="center"/>
          </w:tcPr>
          <w:p w14:paraId="1C1492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其他要求</w:t>
            </w:r>
          </w:p>
        </w:tc>
        <w:tc>
          <w:tcPr>
            <w:tcW w:w="4126" w:type="pct"/>
            <w:vAlign w:val="center"/>
          </w:tcPr>
          <w:p w14:paraId="35B248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1.宁夏公共资源交易平台系统实行 CA 锁认证安全登录管理，登记前须办理 CA 锁及电子签章（含公章及法人章）。CA 锁业务请咨询西 部安全认证中心有限责任公司，联系电话：4007188588 按 1 号键。 </w:t>
            </w:r>
          </w:p>
          <w:p w14:paraId="40D5265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2.根据《自治区公共资源交易管理局自治区财政厅关于试点政府 采购项目“不见面开标”的通知》（宁公资发﹝2022﹞5 号），本项目采用网上“不见面开标”方式。“不见面开标系统”操作流程请登录宁夏回族自治区公共资源交易网，进入服务指南页面查看操作手册。 </w:t>
            </w:r>
          </w:p>
          <w:p w14:paraId="58E54C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3.投标文件应由投标人法定代表人或授权代理人进行解锁，逾期上传、未成功签到或未解锁的投标文件招标人将予以拒收。</w:t>
            </w:r>
            <w:r>
              <w:rPr>
                <w:rFonts w:hint="eastAsia" w:ascii="仿宋" w:hAnsi="仿宋" w:eastAsia="仿宋" w:cs="仿宋"/>
                <w:bCs/>
                <w:sz w:val="24"/>
                <w:szCs w:val="24"/>
                <w:highlight w:val="none"/>
                <w:lang w:val="en-US" w:eastAsia="zh-CN"/>
              </w:rPr>
              <w:br w:type="textWrapping"/>
            </w:r>
            <w:r>
              <w:rPr>
                <w:rFonts w:hint="eastAsia" w:ascii="仿宋" w:hAnsi="仿宋" w:eastAsia="仿宋" w:cs="仿宋"/>
                <w:bCs/>
                <w:sz w:val="24"/>
                <w:szCs w:val="24"/>
                <w:highlight w:val="yellow"/>
                <w:lang w:val="en-US" w:eastAsia="zh-CN"/>
              </w:rPr>
              <w:t>4.纸质投标文件：在中标公告发出后五个工作日内</w:t>
            </w:r>
            <w:r>
              <w:rPr>
                <w:rFonts w:hint="eastAsia" w:ascii="仿宋" w:hAnsi="仿宋" w:eastAsia="仿宋" w:cs="仿宋"/>
                <w:b/>
                <w:bCs w:val="0"/>
                <w:color w:val="auto"/>
                <w:sz w:val="24"/>
                <w:szCs w:val="24"/>
                <w:highlight w:val="yellow"/>
                <w:lang w:val="en-US" w:eastAsia="zh-CN"/>
              </w:rPr>
              <w:t>所有投标单位</w:t>
            </w:r>
            <w:r>
              <w:rPr>
                <w:rFonts w:hint="eastAsia" w:ascii="仿宋" w:hAnsi="仿宋" w:eastAsia="仿宋" w:cs="仿宋"/>
                <w:bCs/>
                <w:sz w:val="24"/>
                <w:szCs w:val="24"/>
                <w:highlight w:val="yellow"/>
                <w:lang w:val="en-US" w:eastAsia="zh-CN"/>
              </w:rPr>
              <w:t>均需提供纸质投标文件</w:t>
            </w:r>
            <w:r>
              <w:rPr>
                <w:rFonts w:hint="eastAsia" w:ascii="仿宋" w:hAnsi="仿宋" w:eastAsia="仿宋" w:cs="仿宋"/>
                <w:b/>
                <w:bCs w:val="0"/>
                <w:sz w:val="24"/>
                <w:szCs w:val="24"/>
                <w:highlight w:val="yellow"/>
                <w:lang w:val="en-US" w:eastAsia="zh-CN"/>
              </w:rPr>
              <w:t>五份</w:t>
            </w:r>
            <w:r>
              <w:rPr>
                <w:rFonts w:hint="eastAsia" w:ascii="仿宋" w:hAnsi="仿宋" w:eastAsia="仿宋" w:cs="仿宋"/>
                <w:bCs/>
                <w:sz w:val="24"/>
                <w:szCs w:val="24"/>
                <w:highlight w:val="yellow"/>
                <w:lang w:val="en-US" w:eastAsia="zh-CN"/>
              </w:rPr>
              <w:t>邮寄至代理机构，所有投标单位纸质版文件须与上传的电子投标文件保持一致，建议双面打印、胶装成册，封皮注明项目名称、项目文件编号、标包号、投标单位名称。</w:t>
            </w:r>
          </w:p>
        </w:tc>
      </w:tr>
    </w:tbl>
    <w:p w14:paraId="69BD5B83">
      <w:pPr>
        <w:outlineLvl w:val="0"/>
        <w:rPr>
          <w:rFonts w:ascii="仿宋" w:hAnsi="仿宋" w:eastAsia="仿宋" w:cs="仿宋"/>
          <w:b/>
          <w:bCs/>
          <w:sz w:val="28"/>
          <w:szCs w:val="28"/>
        </w:rPr>
      </w:pPr>
    </w:p>
    <w:p w14:paraId="68212D15">
      <w:pPr>
        <w:pStyle w:val="4"/>
      </w:pPr>
      <w:r>
        <w:br w:type="page"/>
      </w:r>
    </w:p>
    <w:p w14:paraId="5D4B409E">
      <w:pPr>
        <w:outlineLvl w:val="0"/>
        <w:rPr>
          <w:rFonts w:ascii="仿宋" w:hAnsi="仿宋" w:eastAsia="仿宋" w:cs="仿宋"/>
          <w:kern w:val="0"/>
          <w:sz w:val="30"/>
          <w:szCs w:val="30"/>
        </w:rPr>
      </w:pPr>
      <w:r>
        <w:rPr>
          <w:rFonts w:hint="eastAsia" w:ascii="仿宋" w:hAnsi="仿宋" w:eastAsia="仿宋" w:cs="仿宋"/>
          <w:b/>
          <w:bCs/>
          <w:sz w:val="28"/>
          <w:szCs w:val="28"/>
        </w:rPr>
        <w:t>二、合同模板</w:t>
      </w:r>
    </w:p>
    <w:p w14:paraId="2E41ABDC">
      <w:pPr>
        <w:spacing w:line="58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宁夏消防救援总队</w:t>
      </w:r>
      <w:r>
        <w:rPr>
          <w:rFonts w:hint="eastAsia" w:ascii="仿宋" w:hAnsi="仿宋" w:eastAsia="仿宋" w:cs="仿宋"/>
          <w:bCs/>
          <w:sz w:val="28"/>
          <w:szCs w:val="28"/>
          <w:highlight w:val="none"/>
          <w:lang w:eastAsia="zh-CN"/>
        </w:rPr>
        <w:t>灭火救援装备采购</w:t>
      </w:r>
      <w:r>
        <w:rPr>
          <w:rFonts w:hint="eastAsia" w:ascii="仿宋" w:hAnsi="仿宋" w:eastAsia="仿宋" w:cs="仿宋"/>
          <w:bCs/>
          <w:sz w:val="28"/>
          <w:szCs w:val="28"/>
          <w:highlight w:val="none"/>
        </w:rPr>
        <w:t>合同</w:t>
      </w:r>
    </w:p>
    <w:p w14:paraId="5896882B">
      <w:pPr>
        <w:spacing w:after="312" w:afterLines="100" w:line="580" w:lineRule="exact"/>
        <w:ind w:firstLine="560" w:firstLineChars="200"/>
        <w:jc w:val="right"/>
        <w:rPr>
          <w:rFonts w:hint="eastAsia" w:ascii="仿宋" w:hAnsi="仿宋" w:eastAsia="仿宋" w:cs="仿宋"/>
          <w:bCs/>
          <w:sz w:val="28"/>
          <w:szCs w:val="28"/>
          <w:highlight w:val="none"/>
        </w:rPr>
      </w:pPr>
      <w:r>
        <w:rPr>
          <w:rFonts w:hint="eastAsia" w:ascii="仿宋" w:hAnsi="仿宋" w:eastAsia="仿宋" w:cs="仿宋"/>
          <w:bCs/>
          <w:sz w:val="28"/>
          <w:szCs w:val="28"/>
          <w:highlight w:val="none"/>
        </w:rPr>
        <w:t>合同编号：宁消采（年度）〔2024〕XXX号</w:t>
      </w:r>
    </w:p>
    <w:p w14:paraId="5587DBBC">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为了保护合同当事人的合法权益，明确双方的责任，确保合同的顺利履行，根据《中华人民共和国政府采购法》《中华人民共和国民法典》等法律法规和规章制度，双方商定同意按如下条款签订本合同：</w:t>
      </w:r>
    </w:p>
    <w:p w14:paraId="2D4029CF">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一、项目名称及合同当事人</w:t>
      </w:r>
    </w:p>
    <w:p w14:paraId="00016AE0">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项目名称：宁夏消防救援总队</w:t>
      </w:r>
      <w:r>
        <w:rPr>
          <w:rFonts w:hint="eastAsia" w:ascii="仿宋" w:hAnsi="仿宋" w:eastAsia="仿宋" w:cs="仿宋"/>
          <w:bCs/>
          <w:sz w:val="28"/>
          <w:szCs w:val="28"/>
          <w:highlight w:val="none"/>
          <w:lang w:eastAsia="zh-CN"/>
        </w:rPr>
        <w:t>灭火救援</w:t>
      </w:r>
      <w:r>
        <w:rPr>
          <w:rFonts w:hint="eastAsia" w:ascii="仿宋" w:hAnsi="仿宋" w:eastAsia="仿宋" w:cs="仿宋"/>
          <w:bCs/>
          <w:sz w:val="28"/>
          <w:szCs w:val="28"/>
          <w:highlight w:val="none"/>
        </w:rPr>
        <w:t>装备</w:t>
      </w:r>
      <w:r>
        <w:rPr>
          <w:rFonts w:hint="eastAsia" w:ascii="仿宋" w:hAnsi="仿宋" w:eastAsia="仿宋" w:cs="仿宋"/>
          <w:bCs/>
          <w:sz w:val="28"/>
          <w:szCs w:val="28"/>
          <w:highlight w:val="none"/>
          <w:lang w:eastAsia="zh-CN"/>
        </w:rPr>
        <w:t>采购</w:t>
      </w:r>
      <w:r>
        <w:rPr>
          <w:rFonts w:hint="eastAsia" w:ascii="仿宋" w:hAnsi="仿宋" w:eastAsia="仿宋" w:cs="仿宋"/>
          <w:bCs/>
          <w:sz w:val="28"/>
          <w:szCs w:val="28"/>
          <w:highlight w:val="none"/>
        </w:rPr>
        <w:t>项目</w:t>
      </w:r>
    </w:p>
    <w:p w14:paraId="1F5A032D">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甲方名称：宁夏回族自治区消防救援总队</w:t>
      </w:r>
    </w:p>
    <w:p w14:paraId="25D6A602">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地</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址：宁夏银川市兴庆区北京东路169号</w:t>
      </w:r>
    </w:p>
    <w:p w14:paraId="68F3E86B">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业务联系人：</w:t>
      </w:r>
      <w:r>
        <w:rPr>
          <w:rFonts w:hint="eastAsia" w:ascii="仿宋" w:hAnsi="仿宋" w:eastAsia="仿宋" w:cs="仿宋"/>
          <w:bCs/>
          <w:sz w:val="28"/>
          <w:szCs w:val="28"/>
          <w:highlight w:val="none"/>
          <w:lang w:eastAsia="zh-CN"/>
        </w:rPr>
        <w:t>韩</w:t>
      </w:r>
      <w:r>
        <w:rPr>
          <w:rFonts w:hint="eastAsia" w:ascii="仿宋" w:hAnsi="仿宋" w:eastAsia="仿宋" w:cs="仿宋"/>
          <w:bCs/>
          <w:sz w:val="28"/>
          <w:szCs w:val="28"/>
          <w:highlight w:val="none"/>
        </w:rPr>
        <w:t>助理             邮箱地址：</w:t>
      </w:r>
      <w:r>
        <w:rPr>
          <w:rFonts w:hint="eastAsia" w:ascii="仿宋" w:hAnsi="仿宋" w:eastAsia="仿宋" w:cs="仿宋"/>
          <w:bCs/>
          <w:sz w:val="28"/>
          <w:szCs w:val="28"/>
          <w:highlight w:val="none"/>
          <w:lang w:val="en-US" w:eastAsia="zh-CN"/>
        </w:rPr>
        <w:t>78273128</w:t>
      </w:r>
      <w:r>
        <w:rPr>
          <w:rFonts w:hint="eastAsia" w:ascii="仿宋" w:hAnsi="仿宋" w:eastAsia="仿宋" w:cs="仿宋"/>
          <w:bCs/>
          <w:sz w:val="28"/>
          <w:szCs w:val="28"/>
          <w:highlight w:val="none"/>
        </w:rPr>
        <w:t>@qq.com</w:t>
      </w:r>
    </w:p>
    <w:p w14:paraId="29B7CC1F">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固定电话：0951-505763</w:t>
      </w:r>
      <w:r>
        <w:rPr>
          <w:rFonts w:hint="eastAsia" w:ascii="仿宋" w:hAnsi="仿宋" w:eastAsia="仿宋" w:cs="仿宋"/>
          <w:bCs/>
          <w:sz w:val="28"/>
          <w:szCs w:val="28"/>
          <w:highlight w:val="none"/>
          <w:lang w:val="en-US" w:eastAsia="zh-CN"/>
        </w:rPr>
        <w:t>5</w:t>
      </w:r>
      <w:r>
        <w:rPr>
          <w:rFonts w:hint="eastAsia" w:ascii="仿宋" w:hAnsi="仿宋" w:eastAsia="仿宋" w:cs="仿宋"/>
          <w:bCs/>
          <w:sz w:val="28"/>
          <w:szCs w:val="28"/>
          <w:highlight w:val="none"/>
        </w:rPr>
        <w:t xml:space="preserve"> </w:t>
      </w:r>
    </w:p>
    <w:p w14:paraId="393F5F46">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乙方名称：</w:t>
      </w:r>
    </w:p>
    <w:p w14:paraId="5116C505">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地</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址：</w:t>
      </w:r>
    </w:p>
    <w:p w14:paraId="512F7050">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业务联系人：                   邮箱地址： </w:t>
      </w:r>
    </w:p>
    <w:p w14:paraId="5EC2B896">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固定电话：                     手机号码：</w:t>
      </w:r>
    </w:p>
    <w:p w14:paraId="5BA8C7E8">
      <w:pPr>
        <w:spacing w:line="600" w:lineRule="exact"/>
        <w:ind w:firstLine="560" w:firstLineChars="200"/>
        <w:rPr>
          <w:rFonts w:hint="eastAsia" w:ascii="仿宋" w:hAnsi="仿宋" w:eastAsia="仿宋" w:cs="仿宋"/>
          <w:bCs/>
          <w:sz w:val="28"/>
          <w:szCs w:val="28"/>
          <w:highlight w:val="none"/>
        </w:rPr>
      </w:pPr>
      <w:bookmarkStart w:id="0" w:name="_Toc428867726"/>
      <w:bookmarkEnd w:id="0"/>
      <w:bookmarkStart w:id="1" w:name="_Toc427242826"/>
      <w:bookmarkEnd w:id="1"/>
      <w:r>
        <w:rPr>
          <w:rFonts w:hint="eastAsia" w:ascii="仿宋" w:hAnsi="仿宋" w:eastAsia="仿宋" w:cs="仿宋"/>
          <w:bCs/>
          <w:sz w:val="28"/>
          <w:szCs w:val="28"/>
          <w:highlight w:val="none"/>
        </w:rPr>
        <w:t>二、合同标的、数量和价款</w:t>
      </w:r>
    </w:p>
    <w:tbl>
      <w:tblPr>
        <w:tblStyle w:val="11"/>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466"/>
        <w:gridCol w:w="1467"/>
        <w:gridCol w:w="1950"/>
        <w:gridCol w:w="933"/>
        <w:gridCol w:w="817"/>
        <w:gridCol w:w="1134"/>
        <w:gridCol w:w="1066"/>
      </w:tblGrid>
      <w:tr w14:paraId="1341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7" w:type="dxa"/>
            <w:noWrap w:val="0"/>
            <w:vAlign w:val="center"/>
          </w:tcPr>
          <w:p w14:paraId="2027E106">
            <w:pPr>
              <w:spacing w:line="32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466" w:type="dxa"/>
            <w:noWrap w:val="0"/>
            <w:vAlign w:val="center"/>
          </w:tcPr>
          <w:p w14:paraId="60453674">
            <w:pPr>
              <w:spacing w:line="32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货物名称</w:t>
            </w:r>
          </w:p>
        </w:tc>
        <w:tc>
          <w:tcPr>
            <w:tcW w:w="1467" w:type="dxa"/>
            <w:noWrap w:val="0"/>
            <w:vAlign w:val="center"/>
          </w:tcPr>
          <w:p w14:paraId="5530F190">
            <w:pPr>
              <w:spacing w:line="32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品牌型号</w:t>
            </w:r>
          </w:p>
        </w:tc>
        <w:tc>
          <w:tcPr>
            <w:tcW w:w="1950" w:type="dxa"/>
            <w:noWrap w:val="0"/>
            <w:vAlign w:val="center"/>
          </w:tcPr>
          <w:p w14:paraId="2C88C58E">
            <w:pPr>
              <w:spacing w:line="32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生产厂家</w:t>
            </w:r>
          </w:p>
        </w:tc>
        <w:tc>
          <w:tcPr>
            <w:tcW w:w="933" w:type="dxa"/>
            <w:noWrap w:val="0"/>
            <w:vAlign w:val="center"/>
          </w:tcPr>
          <w:p w14:paraId="3E2FEB61">
            <w:pPr>
              <w:spacing w:line="32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数量</w:t>
            </w:r>
          </w:p>
        </w:tc>
        <w:tc>
          <w:tcPr>
            <w:tcW w:w="817" w:type="dxa"/>
            <w:noWrap w:val="0"/>
            <w:vAlign w:val="center"/>
          </w:tcPr>
          <w:p w14:paraId="19A0F324">
            <w:pPr>
              <w:spacing w:line="32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单位</w:t>
            </w:r>
          </w:p>
        </w:tc>
        <w:tc>
          <w:tcPr>
            <w:tcW w:w="1134" w:type="dxa"/>
            <w:noWrap w:val="0"/>
            <w:vAlign w:val="center"/>
          </w:tcPr>
          <w:p w14:paraId="3606BE71">
            <w:pPr>
              <w:spacing w:line="32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单价</w:t>
            </w:r>
          </w:p>
          <w:p w14:paraId="0AC3E5D2">
            <w:pPr>
              <w:spacing w:line="32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（元）</w:t>
            </w:r>
          </w:p>
        </w:tc>
        <w:tc>
          <w:tcPr>
            <w:tcW w:w="1066" w:type="dxa"/>
            <w:noWrap w:val="0"/>
            <w:vAlign w:val="center"/>
          </w:tcPr>
          <w:p w14:paraId="185481B5">
            <w:pPr>
              <w:spacing w:line="32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金额</w:t>
            </w:r>
          </w:p>
          <w:p w14:paraId="6E0EC763">
            <w:pPr>
              <w:spacing w:line="32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（元）</w:t>
            </w:r>
          </w:p>
        </w:tc>
      </w:tr>
      <w:tr w14:paraId="6A44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7" w:type="dxa"/>
            <w:noWrap w:val="0"/>
            <w:vAlign w:val="center"/>
          </w:tcPr>
          <w:p w14:paraId="4E420955">
            <w:pPr>
              <w:widowControl/>
              <w:spacing w:line="320" w:lineRule="exact"/>
              <w:jc w:val="center"/>
              <w:rPr>
                <w:rFonts w:hint="eastAsia" w:ascii="仿宋" w:hAnsi="仿宋" w:eastAsia="仿宋" w:cs="仿宋"/>
                <w:bCs/>
                <w:kern w:val="0"/>
                <w:sz w:val="28"/>
                <w:szCs w:val="28"/>
                <w:highlight w:val="none"/>
                <w:lang w:bidi="ar"/>
              </w:rPr>
            </w:pPr>
            <w:r>
              <w:rPr>
                <w:rFonts w:hint="eastAsia" w:ascii="仿宋" w:hAnsi="仿宋" w:eastAsia="仿宋" w:cs="仿宋"/>
                <w:bCs/>
                <w:kern w:val="0"/>
                <w:sz w:val="28"/>
                <w:szCs w:val="28"/>
                <w:highlight w:val="none"/>
                <w:lang w:bidi="ar"/>
              </w:rPr>
              <w:t>1</w:t>
            </w:r>
          </w:p>
        </w:tc>
        <w:tc>
          <w:tcPr>
            <w:tcW w:w="1466" w:type="dxa"/>
            <w:noWrap w:val="0"/>
            <w:vAlign w:val="center"/>
          </w:tcPr>
          <w:p w14:paraId="61B6641D">
            <w:pPr>
              <w:widowControl/>
              <w:spacing w:line="320" w:lineRule="exact"/>
              <w:jc w:val="center"/>
              <w:rPr>
                <w:rFonts w:hint="eastAsia" w:ascii="仿宋" w:hAnsi="仿宋" w:eastAsia="仿宋" w:cs="仿宋"/>
                <w:bCs/>
                <w:kern w:val="0"/>
                <w:sz w:val="28"/>
                <w:szCs w:val="28"/>
                <w:highlight w:val="none"/>
                <w:lang w:bidi="ar"/>
              </w:rPr>
            </w:pPr>
            <w:r>
              <w:rPr>
                <w:rFonts w:hint="eastAsia" w:ascii="仿宋" w:hAnsi="仿宋" w:eastAsia="仿宋" w:cs="仿宋"/>
                <w:bCs/>
                <w:kern w:val="0"/>
                <w:sz w:val="28"/>
                <w:szCs w:val="28"/>
                <w:highlight w:val="none"/>
                <w:lang w:bidi="ar"/>
              </w:rPr>
              <w:t>（根据品目进行增减）</w:t>
            </w:r>
          </w:p>
        </w:tc>
        <w:tc>
          <w:tcPr>
            <w:tcW w:w="1467" w:type="dxa"/>
            <w:noWrap w:val="0"/>
            <w:vAlign w:val="center"/>
          </w:tcPr>
          <w:p w14:paraId="0791E4A4">
            <w:pPr>
              <w:spacing w:line="320" w:lineRule="exact"/>
              <w:jc w:val="center"/>
              <w:rPr>
                <w:rFonts w:hint="eastAsia" w:ascii="仿宋" w:hAnsi="仿宋" w:eastAsia="仿宋" w:cs="仿宋"/>
                <w:bCs/>
                <w:kern w:val="0"/>
                <w:sz w:val="28"/>
                <w:szCs w:val="28"/>
                <w:highlight w:val="none"/>
                <w:lang w:bidi="ar"/>
              </w:rPr>
            </w:pPr>
          </w:p>
        </w:tc>
        <w:tc>
          <w:tcPr>
            <w:tcW w:w="1950" w:type="dxa"/>
            <w:noWrap w:val="0"/>
            <w:vAlign w:val="center"/>
          </w:tcPr>
          <w:p w14:paraId="540DC3DE">
            <w:pPr>
              <w:spacing w:line="320" w:lineRule="exact"/>
              <w:jc w:val="center"/>
              <w:rPr>
                <w:rFonts w:hint="eastAsia" w:ascii="仿宋" w:hAnsi="仿宋" w:eastAsia="仿宋" w:cs="仿宋"/>
                <w:bCs/>
                <w:kern w:val="0"/>
                <w:sz w:val="28"/>
                <w:szCs w:val="28"/>
                <w:highlight w:val="none"/>
                <w:lang w:bidi="ar"/>
              </w:rPr>
            </w:pPr>
          </w:p>
        </w:tc>
        <w:tc>
          <w:tcPr>
            <w:tcW w:w="933" w:type="dxa"/>
            <w:noWrap w:val="0"/>
            <w:vAlign w:val="center"/>
          </w:tcPr>
          <w:p w14:paraId="07FF4EBE">
            <w:pPr>
              <w:spacing w:line="320" w:lineRule="exact"/>
              <w:jc w:val="center"/>
              <w:rPr>
                <w:rFonts w:hint="eastAsia" w:ascii="仿宋" w:hAnsi="仿宋" w:eastAsia="仿宋" w:cs="仿宋"/>
                <w:bCs/>
                <w:kern w:val="0"/>
                <w:sz w:val="28"/>
                <w:szCs w:val="28"/>
                <w:highlight w:val="none"/>
                <w:lang w:bidi="ar"/>
              </w:rPr>
            </w:pPr>
          </w:p>
        </w:tc>
        <w:tc>
          <w:tcPr>
            <w:tcW w:w="817" w:type="dxa"/>
            <w:noWrap w:val="0"/>
            <w:vAlign w:val="center"/>
          </w:tcPr>
          <w:p w14:paraId="3A7B5C6C">
            <w:pPr>
              <w:spacing w:line="320" w:lineRule="exact"/>
              <w:jc w:val="center"/>
              <w:rPr>
                <w:rFonts w:hint="eastAsia" w:ascii="仿宋" w:hAnsi="仿宋" w:eastAsia="仿宋" w:cs="仿宋"/>
                <w:bCs/>
                <w:kern w:val="0"/>
                <w:sz w:val="28"/>
                <w:szCs w:val="28"/>
                <w:highlight w:val="none"/>
                <w:lang w:bidi="ar"/>
              </w:rPr>
            </w:pPr>
          </w:p>
        </w:tc>
        <w:tc>
          <w:tcPr>
            <w:tcW w:w="1134" w:type="dxa"/>
            <w:noWrap w:val="0"/>
            <w:vAlign w:val="center"/>
          </w:tcPr>
          <w:p w14:paraId="5ECB439C">
            <w:pPr>
              <w:widowControl/>
              <w:spacing w:line="320" w:lineRule="exact"/>
              <w:jc w:val="center"/>
              <w:rPr>
                <w:rFonts w:hint="eastAsia" w:ascii="仿宋" w:hAnsi="仿宋" w:eastAsia="仿宋" w:cs="仿宋"/>
                <w:bCs/>
                <w:kern w:val="0"/>
                <w:sz w:val="28"/>
                <w:szCs w:val="28"/>
                <w:highlight w:val="none"/>
                <w:lang w:bidi="ar"/>
              </w:rPr>
            </w:pPr>
          </w:p>
        </w:tc>
        <w:tc>
          <w:tcPr>
            <w:tcW w:w="1066" w:type="dxa"/>
            <w:noWrap w:val="0"/>
            <w:vAlign w:val="center"/>
          </w:tcPr>
          <w:p w14:paraId="39CA1814">
            <w:pPr>
              <w:widowControl/>
              <w:spacing w:line="320" w:lineRule="exact"/>
              <w:jc w:val="center"/>
              <w:rPr>
                <w:rFonts w:hint="eastAsia" w:ascii="仿宋" w:hAnsi="仿宋" w:eastAsia="仿宋" w:cs="仿宋"/>
                <w:bCs/>
                <w:kern w:val="0"/>
                <w:sz w:val="28"/>
                <w:szCs w:val="28"/>
                <w:highlight w:val="none"/>
                <w:lang w:bidi="ar"/>
              </w:rPr>
            </w:pPr>
          </w:p>
        </w:tc>
      </w:tr>
      <w:tr w14:paraId="254E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7" w:type="dxa"/>
            <w:noWrap w:val="0"/>
            <w:vAlign w:val="center"/>
          </w:tcPr>
          <w:p w14:paraId="6125A454">
            <w:pPr>
              <w:widowControl/>
              <w:spacing w:line="320" w:lineRule="exact"/>
              <w:jc w:val="center"/>
              <w:rPr>
                <w:rFonts w:hint="eastAsia" w:ascii="仿宋" w:hAnsi="仿宋" w:eastAsia="仿宋" w:cs="仿宋"/>
                <w:bCs/>
                <w:kern w:val="0"/>
                <w:sz w:val="28"/>
                <w:szCs w:val="28"/>
                <w:highlight w:val="none"/>
                <w:lang w:bidi="ar"/>
              </w:rPr>
            </w:pPr>
            <w:r>
              <w:rPr>
                <w:rFonts w:hint="eastAsia" w:ascii="仿宋" w:hAnsi="仿宋" w:eastAsia="仿宋" w:cs="仿宋"/>
                <w:bCs/>
                <w:kern w:val="0"/>
                <w:sz w:val="28"/>
                <w:szCs w:val="28"/>
                <w:highlight w:val="none"/>
                <w:lang w:bidi="ar"/>
              </w:rPr>
              <w:t>2</w:t>
            </w:r>
          </w:p>
        </w:tc>
        <w:tc>
          <w:tcPr>
            <w:tcW w:w="1466" w:type="dxa"/>
            <w:noWrap w:val="0"/>
            <w:vAlign w:val="center"/>
          </w:tcPr>
          <w:p w14:paraId="78429A49">
            <w:pPr>
              <w:widowControl/>
              <w:spacing w:line="320" w:lineRule="exact"/>
              <w:jc w:val="center"/>
              <w:rPr>
                <w:rFonts w:hint="eastAsia" w:ascii="仿宋" w:hAnsi="仿宋" w:eastAsia="仿宋" w:cs="仿宋"/>
                <w:bCs/>
                <w:kern w:val="0"/>
                <w:sz w:val="28"/>
                <w:szCs w:val="28"/>
                <w:highlight w:val="none"/>
                <w:lang w:bidi="ar"/>
              </w:rPr>
            </w:pPr>
          </w:p>
        </w:tc>
        <w:tc>
          <w:tcPr>
            <w:tcW w:w="1467" w:type="dxa"/>
            <w:noWrap w:val="0"/>
            <w:vAlign w:val="center"/>
          </w:tcPr>
          <w:p w14:paraId="18074D4E">
            <w:pPr>
              <w:spacing w:line="320" w:lineRule="exact"/>
              <w:jc w:val="center"/>
              <w:rPr>
                <w:rFonts w:hint="eastAsia" w:ascii="仿宋" w:hAnsi="仿宋" w:eastAsia="仿宋" w:cs="仿宋"/>
                <w:bCs/>
                <w:kern w:val="0"/>
                <w:sz w:val="28"/>
                <w:szCs w:val="28"/>
                <w:highlight w:val="none"/>
                <w:lang w:bidi="ar"/>
              </w:rPr>
            </w:pPr>
          </w:p>
        </w:tc>
        <w:tc>
          <w:tcPr>
            <w:tcW w:w="1950" w:type="dxa"/>
            <w:noWrap w:val="0"/>
            <w:vAlign w:val="center"/>
          </w:tcPr>
          <w:p w14:paraId="0C0F54D5">
            <w:pPr>
              <w:spacing w:line="320" w:lineRule="exact"/>
              <w:jc w:val="center"/>
              <w:rPr>
                <w:rFonts w:hint="eastAsia" w:ascii="仿宋" w:hAnsi="仿宋" w:eastAsia="仿宋" w:cs="仿宋"/>
                <w:bCs/>
                <w:kern w:val="0"/>
                <w:sz w:val="28"/>
                <w:szCs w:val="28"/>
                <w:highlight w:val="none"/>
                <w:lang w:bidi="ar"/>
              </w:rPr>
            </w:pPr>
          </w:p>
        </w:tc>
        <w:tc>
          <w:tcPr>
            <w:tcW w:w="933" w:type="dxa"/>
            <w:noWrap w:val="0"/>
            <w:vAlign w:val="center"/>
          </w:tcPr>
          <w:p w14:paraId="5A64800E">
            <w:pPr>
              <w:spacing w:line="320" w:lineRule="exact"/>
              <w:jc w:val="center"/>
              <w:rPr>
                <w:rFonts w:hint="eastAsia" w:ascii="仿宋" w:hAnsi="仿宋" w:eastAsia="仿宋" w:cs="仿宋"/>
                <w:bCs/>
                <w:kern w:val="0"/>
                <w:sz w:val="28"/>
                <w:szCs w:val="28"/>
                <w:highlight w:val="none"/>
                <w:lang w:bidi="ar"/>
              </w:rPr>
            </w:pPr>
          </w:p>
        </w:tc>
        <w:tc>
          <w:tcPr>
            <w:tcW w:w="817" w:type="dxa"/>
            <w:noWrap w:val="0"/>
            <w:vAlign w:val="center"/>
          </w:tcPr>
          <w:p w14:paraId="44DF20D1">
            <w:pPr>
              <w:spacing w:line="320" w:lineRule="exact"/>
              <w:jc w:val="center"/>
              <w:rPr>
                <w:rFonts w:hint="eastAsia" w:ascii="仿宋" w:hAnsi="仿宋" w:eastAsia="仿宋" w:cs="仿宋"/>
                <w:bCs/>
                <w:kern w:val="0"/>
                <w:sz w:val="28"/>
                <w:szCs w:val="28"/>
                <w:highlight w:val="none"/>
                <w:lang w:bidi="ar"/>
              </w:rPr>
            </w:pPr>
          </w:p>
        </w:tc>
        <w:tc>
          <w:tcPr>
            <w:tcW w:w="1134" w:type="dxa"/>
            <w:noWrap w:val="0"/>
            <w:vAlign w:val="center"/>
          </w:tcPr>
          <w:p w14:paraId="78ACC9AB">
            <w:pPr>
              <w:widowControl/>
              <w:spacing w:line="320" w:lineRule="exact"/>
              <w:jc w:val="center"/>
              <w:rPr>
                <w:rFonts w:hint="eastAsia" w:ascii="仿宋" w:hAnsi="仿宋" w:eastAsia="仿宋" w:cs="仿宋"/>
                <w:bCs/>
                <w:kern w:val="0"/>
                <w:sz w:val="28"/>
                <w:szCs w:val="28"/>
                <w:highlight w:val="none"/>
                <w:lang w:bidi="ar"/>
              </w:rPr>
            </w:pPr>
          </w:p>
        </w:tc>
        <w:tc>
          <w:tcPr>
            <w:tcW w:w="1066" w:type="dxa"/>
            <w:noWrap w:val="0"/>
            <w:vAlign w:val="center"/>
          </w:tcPr>
          <w:p w14:paraId="07AC0AF9">
            <w:pPr>
              <w:widowControl/>
              <w:spacing w:line="320" w:lineRule="exact"/>
              <w:jc w:val="center"/>
              <w:rPr>
                <w:rFonts w:hint="eastAsia" w:ascii="仿宋" w:hAnsi="仿宋" w:eastAsia="仿宋" w:cs="仿宋"/>
                <w:bCs/>
                <w:kern w:val="0"/>
                <w:sz w:val="28"/>
                <w:szCs w:val="28"/>
                <w:highlight w:val="none"/>
                <w:lang w:bidi="ar"/>
              </w:rPr>
            </w:pPr>
          </w:p>
        </w:tc>
      </w:tr>
      <w:tr w14:paraId="34F7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93" w:type="dxa"/>
            <w:gridSpan w:val="2"/>
            <w:tcBorders>
              <w:top w:val="single" w:color="auto" w:sz="4" w:space="0"/>
              <w:left w:val="single" w:color="auto" w:sz="4" w:space="0"/>
              <w:bottom w:val="single" w:color="auto" w:sz="4" w:space="0"/>
              <w:right w:val="single" w:color="auto" w:sz="4" w:space="0"/>
            </w:tcBorders>
            <w:noWrap w:val="0"/>
            <w:vAlign w:val="center"/>
          </w:tcPr>
          <w:p w14:paraId="4A412BF1">
            <w:pPr>
              <w:snapToGrid w:val="0"/>
              <w:spacing w:line="320" w:lineRule="exact"/>
              <w:rPr>
                <w:rFonts w:hint="eastAsia" w:ascii="仿宋" w:hAnsi="仿宋" w:eastAsia="仿宋" w:cs="仿宋"/>
                <w:b/>
                <w:bCs/>
                <w:sz w:val="28"/>
                <w:szCs w:val="28"/>
                <w:highlight w:val="none"/>
                <w:lang w:val="en-US"/>
              </w:rPr>
            </w:pPr>
            <w:r>
              <w:rPr>
                <w:rFonts w:hint="eastAsia" w:ascii="仿宋" w:hAnsi="仿宋" w:eastAsia="仿宋" w:cs="仿宋"/>
                <w:b/>
                <w:bCs/>
                <w:sz w:val="28"/>
                <w:szCs w:val="28"/>
                <w:highlight w:val="none"/>
              </w:rPr>
              <w:t>合同总价</w:t>
            </w:r>
            <w:r>
              <w:rPr>
                <w:rFonts w:hint="eastAsia" w:ascii="仿宋" w:hAnsi="仿宋" w:eastAsia="仿宋" w:cs="仿宋"/>
                <w:b/>
                <w:bCs/>
                <w:sz w:val="28"/>
                <w:szCs w:val="28"/>
                <w:highlight w:val="none"/>
                <w:lang w:val="en-US"/>
              </w:rPr>
              <w:t>(</w:t>
            </w:r>
            <w:r>
              <w:rPr>
                <w:rFonts w:hint="eastAsia" w:ascii="仿宋" w:hAnsi="仿宋" w:eastAsia="仿宋" w:cs="仿宋"/>
                <w:b/>
                <w:bCs/>
                <w:sz w:val="28"/>
                <w:szCs w:val="28"/>
                <w:highlight w:val="none"/>
                <w:lang w:val="en-US" w:eastAsia="zh-CN"/>
              </w:rPr>
              <w:t>含税</w:t>
            </w:r>
            <w:r>
              <w:rPr>
                <w:rFonts w:hint="eastAsia" w:ascii="仿宋" w:hAnsi="仿宋" w:eastAsia="仿宋" w:cs="仿宋"/>
                <w:b/>
                <w:bCs/>
                <w:sz w:val="28"/>
                <w:szCs w:val="28"/>
                <w:highlight w:val="none"/>
                <w:lang w:val="en-US"/>
              </w:rPr>
              <w:t>)</w:t>
            </w:r>
          </w:p>
        </w:tc>
        <w:tc>
          <w:tcPr>
            <w:tcW w:w="7367" w:type="dxa"/>
            <w:gridSpan w:val="6"/>
            <w:tcBorders>
              <w:top w:val="single" w:color="auto" w:sz="4" w:space="0"/>
              <w:left w:val="single" w:color="auto" w:sz="4" w:space="0"/>
              <w:bottom w:val="single" w:color="auto" w:sz="4" w:space="0"/>
              <w:right w:val="single" w:color="auto" w:sz="4" w:space="0"/>
            </w:tcBorders>
            <w:noWrap w:val="0"/>
            <w:vAlign w:val="center"/>
          </w:tcPr>
          <w:p w14:paraId="7A8AE9AD">
            <w:pPr>
              <w:snapToGrid w:val="0"/>
              <w:spacing w:line="320" w:lineRule="exact"/>
              <w:rPr>
                <w:rFonts w:hint="eastAsia" w:ascii="仿宋" w:hAnsi="仿宋" w:eastAsia="仿宋" w:cs="仿宋"/>
                <w:b/>
                <w:bCs/>
                <w:kern w:val="0"/>
                <w:sz w:val="28"/>
                <w:szCs w:val="28"/>
                <w:highlight w:val="none"/>
              </w:rPr>
            </w:pPr>
            <w:r>
              <w:rPr>
                <w:rFonts w:hint="eastAsia" w:ascii="仿宋" w:hAnsi="仿宋" w:eastAsia="仿宋" w:cs="仿宋"/>
                <w:b/>
                <w:bCs/>
                <w:sz w:val="28"/>
                <w:szCs w:val="28"/>
                <w:highlight w:val="none"/>
              </w:rPr>
              <w:t>大写：人民币     元整，小写：¥      元</w:t>
            </w:r>
          </w:p>
        </w:tc>
      </w:tr>
    </w:tbl>
    <w:p w14:paraId="38615C5E">
      <w:pPr>
        <w:spacing w:line="580" w:lineRule="exact"/>
        <w:ind w:firstLine="560" w:firstLineChars="200"/>
        <w:outlineLvl w:val="9"/>
        <w:rPr>
          <w:rFonts w:hint="eastAsia" w:ascii="仿宋" w:hAnsi="仿宋" w:eastAsia="仿宋" w:cs="仿宋"/>
          <w:bCs/>
          <w:kern w:val="2"/>
          <w:sz w:val="28"/>
          <w:szCs w:val="28"/>
          <w:highlight w:val="none"/>
        </w:rPr>
      </w:pPr>
      <w:r>
        <w:rPr>
          <w:rFonts w:hint="eastAsia" w:ascii="仿宋" w:hAnsi="仿宋" w:eastAsia="仿宋" w:cs="仿宋"/>
          <w:bCs/>
          <w:kern w:val="2"/>
          <w:sz w:val="28"/>
          <w:szCs w:val="28"/>
          <w:highlight w:val="none"/>
        </w:rPr>
        <w:t>本合同总价为乙方完成本合同项下全部义务（包括但不限于包装、运输、保险、装卸、货款、安装调试、培训、保修维护、技术支持、质保期服务等）的费用和报酬，除本合同另有约定外，甲方无需支付其他任何费用和款项。</w:t>
      </w:r>
    </w:p>
    <w:p w14:paraId="3FA52A35">
      <w:pPr>
        <w:spacing w:line="58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三、交（提）货期限、地点、方式</w:t>
      </w:r>
    </w:p>
    <w:p w14:paraId="4877A390">
      <w:pPr>
        <w:spacing w:line="58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交货期限为合同签订后</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en-US" w:eastAsia="zh-CN"/>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日历天内，乙方于</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en-US" w:eastAsia="zh-CN"/>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月</w:t>
      </w:r>
    </w:p>
    <w:p w14:paraId="20EE595C">
      <w:pPr>
        <w:spacing w:line="580" w:lineRule="exact"/>
        <w:ind w:firstLine="0" w:firstLineChars="0"/>
        <w:rPr>
          <w:rFonts w:hint="eastAsia" w:ascii="仿宋" w:hAnsi="仿宋" w:eastAsia="仿宋" w:cs="仿宋"/>
          <w:bCs/>
          <w:sz w:val="28"/>
          <w:szCs w:val="28"/>
          <w:highlight w:val="none"/>
        </w:rPr>
      </w:pP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日前将所有货物全部送至以下指定地点交由甲方指定收货人，临时存放在甲方库房内，进行初步交接。</w:t>
      </w:r>
    </w:p>
    <w:p w14:paraId="5B67C951">
      <w:pPr>
        <w:spacing w:line="580" w:lineRule="exact"/>
        <w:ind w:firstLine="560" w:firstLineChars="200"/>
        <w:outlineLvl w:val="0"/>
        <w:rPr>
          <w:rFonts w:hint="eastAsia" w:ascii="仿宋" w:hAnsi="仿宋" w:eastAsia="仿宋" w:cs="仿宋"/>
          <w:bCs/>
          <w:sz w:val="28"/>
          <w:szCs w:val="28"/>
          <w:highlight w:val="none"/>
          <w:lang w:eastAsia="zh-CN"/>
        </w:rPr>
      </w:pPr>
      <w:r>
        <w:rPr>
          <w:rFonts w:hint="eastAsia" w:ascii="仿宋" w:hAnsi="仿宋" w:eastAsia="仿宋" w:cs="仿宋"/>
          <w:bCs/>
          <w:kern w:val="0"/>
          <w:sz w:val="28"/>
          <w:szCs w:val="28"/>
          <w:highlight w:val="none"/>
        </w:rPr>
        <w:t>乙方应在本合同约定的交货时间7日</w:t>
      </w:r>
      <w:r>
        <w:rPr>
          <w:rFonts w:hint="eastAsia" w:ascii="仿宋" w:hAnsi="仿宋" w:eastAsia="仿宋" w:cs="仿宋"/>
          <w:bCs/>
          <w:sz w:val="28"/>
          <w:szCs w:val="28"/>
          <w:highlight w:val="none"/>
        </w:rPr>
        <w:t>历天</w:t>
      </w:r>
      <w:r>
        <w:rPr>
          <w:rFonts w:hint="eastAsia" w:ascii="仿宋" w:hAnsi="仿宋" w:eastAsia="仿宋" w:cs="仿宋"/>
          <w:bCs/>
          <w:kern w:val="0"/>
          <w:sz w:val="28"/>
          <w:szCs w:val="28"/>
          <w:highlight w:val="none"/>
        </w:rPr>
        <w:t>前以电话和电子邮件形式通知甲方业务联系人和收货人（通知内容包括：项目名称、合同号、货物名称、数量、包装箱件数、总毛重、总体积（立方米）和所有</w:t>
      </w:r>
      <w:r>
        <w:rPr>
          <w:rFonts w:hint="eastAsia" w:ascii="仿宋" w:hAnsi="仿宋" w:eastAsia="仿宋" w:cs="仿宋"/>
          <w:bCs/>
          <w:sz w:val="28"/>
          <w:szCs w:val="28"/>
          <w:highlight w:val="none"/>
        </w:rPr>
        <w:t>货物交付日期</w:t>
      </w:r>
      <w:r>
        <w:rPr>
          <w:rFonts w:hint="eastAsia" w:ascii="仿宋" w:hAnsi="仿宋" w:eastAsia="仿宋" w:cs="仿宋"/>
          <w:bCs/>
          <w:kern w:val="0"/>
          <w:sz w:val="28"/>
          <w:szCs w:val="28"/>
          <w:highlight w:val="none"/>
        </w:rPr>
        <w:t>等）。</w:t>
      </w:r>
      <w:r>
        <w:rPr>
          <w:rFonts w:hint="eastAsia" w:ascii="仿宋" w:hAnsi="仿宋" w:eastAsia="仿宋" w:cs="仿宋"/>
          <w:bCs/>
          <w:sz w:val="28"/>
          <w:szCs w:val="28"/>
          <w:highlight w:val="none"/>
        </w:rPr>
        <w:t>货物验收合格后，甲乙双方共同清点货物数量办理出库手续，由乙方配送至甲方指定的使用单位。配送货物所需物流费、搬运费等费用全部由乙方承担。货物配发至使用单位后，乙方需跟踪做好技术培训等售后服务工作，签署《货物接收和技术培训反馈单》（见附件1）。</w:t>
      </w:r>
      <w:r>
        <w:rPr>
          <w:rFonts w:hint="eastAsia" w:ascii="仿宋" w:hAnsi="仿宋" w:eastAsia="仿宋" w:cs="仿宋"/>
          <w:bCs/>
          <w:sz w:val="28"/>
          <w:szCs w:val="28"/>
          <w:highlight w:val="none"/>
          <w:lang w:eastAsia="zh-CN"/>
        </w:rPr>
        <w:t>货物毁损、灭生的风险在最终验收合格之日前由乙方承担。</w:t>
      </w:r>
    </w:p>
    <w:p w14:paraId="43085453">
      <w:pPr>
        <w:spacing w:line="580" w:lineRule="exact"/>
        <w:ind w:firstLine="560" w:firstLineChars="200"/>
        <w:outlineLvl w:val="0"/>
        <w:rPr>
          <w:rFonts w:hint="eastAsia" w:ascii="仿宋" w:hAnsi="仿宋" w:eastAsia="仿宋" w:cs="仿宋"/>
          <w:bCs/>
          <w:sz w:val="28"/>
          <w:szCs w:val="28"/>
          <w:highlight w:val="none"/>
        </w:rPr>
      </w:pPr>
      <w:r>
        <w:rPr>
          <w:rFonts w:hint="eastAsia" w:ascii="仿宋" w:hAnsi="仿宋" w:eastAsia="仿宋" w:cs="仿宋"/>
          <w:bCs/>
          <w:sz w:val="28"/>
          <w:szCs w:val="28"/>
          <w:highlight w:val="none"/>
        </w:rPr>
        <w:t>交货前，乙方须在国家消防救援局消防装备物资信息采集系统（http://xfzb.119.gov.cn）录入装备信息，申请装备编码，并按照甲方要求，制作装备RFID数字管理标签。乙方提供的装备要正确安装RFID标签并预先填写系统分配的RFID编码。消防装备物资信息采集系统注册录入请联系华设设计集团股份有限公司：马经理15651614762；RFID标签的安装方案请联系宁夏消防救援总队：0951-505763</w:t>
      </w:r>
      <w:r>
        <w:rPr>
          <w:rFonts w:hint="eastAsia" w:ascii="仿宋" w:hAnsi="仿宋" w:eastAsia="仿宋" w:cs="仿宋"/>
          <w:bCs/>
          <w:sz w:val="28"/>
          <w:szCs w:val="28"/>
          <w:highlight w:val="none"/>
          <w:lang w:val="en-US" w:eastAsia="zh-CN"/>
        </w:rPr>
        <w:t>5</w:t>
      </w:r>
      <w:r>
        <w:rPr>
          <w:rFonts w:hint="eastAsia" w:ascii="仿宋" w:hAnsi="仿宋" w:eastAsia="仿宋" w:cs="仿宋"/>
          <w:bCs/>
          <w:sz w:val="28"/>
          <w:szCs w:val="28"/>
          <w:highlight w:val="none"/>
        </w:rPr>
        <w:t>。</w:t>
      </w:r>
    </w:p>
    <w:p w14:paraId="5BBAA484">
      <w:pPr>
        <w:spacing w:line="58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交货地点：宁夏银川市西夏区文萃北街与镇芦路交叉路口消防训练与战勤保障支队</w:t>
      </w:r>
    </w:p>
    <w:p w14:paraId="066A8C44">
      <w:pPr>
        <w:spacing w:line="58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收 货 人：罗  强       联系电话：15209606583</w:t>
      </w:r>
    </w:p>
    <w:p w14:paraId="3DF59479">
      <w:pPr>
        <w:spacing w:line="58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电子邮件：1126036500@qq.com</w:t>
      </w:r>
    </w:p>
    <w:p w14:paraId="4EB6F2D8">
      <w:pPr>
        <w:spacing w:line="58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四、履约保证金及缴纳方式</w:t>
      </w:r>
      <w:r>
        <w:rPr>
          <w:rFonts w:hint="eastAsia" w:ascii="仿宋" w:hAnsi="仿宋" w:eastAsia="仿宋" w:cs="仿宋"/>
          <w:bCs/>
          <w:sz w:val="28"/>
          <w:szCs w:val="28"/>
          <w:highlight w:val="none"/>
        </w:rPr>
        <w:tab/>
      </w:r>
    </w:p>
    <w:p w14:paraId="2B0C21AE">
      <w:pPr>
        <w:spacing w:line="580" w:lineRule="exact"/>
        <w:ind w:firstLine="560" w:firstLineChars="200"/>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乙方在合同签订后10个工作日内，以</w:t>
      </w:r>
      <w:r>
        <w:rPr>
          <w:rFonts w:hint="eastAsia" w:ascii="仿宋" w:hAnsi="仿宋" w:eastAsia="仿宋" w:cs="仿宋"/>
          <w:bCs/>
          <w:sz w:val="28"/>
          <w:szCs w:val="28"/>
          <w:highlight w:val="none"/>
          <w:lang w:eastAsia="zh-CN"/>
        </w:rPr>
        <w:t>现金或者</w:t>
      </w:r>
      <w:r>
        <w:rPr>
          <w:rFonts w:hint="eastAsia" w:ascii="仿宋" w:hAnsi="仿宋" w:eastAsia="仿宋" w:cs="仿宋"/>
          <w:bCs/>
          <w:sz w:val="28"/>
          <w:szCs w:val="28"/>
          <w:highlight w:val="none"/>
        </w:rPr>
        <w:t>支票、汇票、本票</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金融机构等出具的保函等形式向甲方提交合同总价10%的履约保证金，</w:t>
      </w:r>
      <w:r>
        <w:rPr>
          <w:rFonts w:hint="eastAsia" w:ascii="仿宋" w:hAnsi="仿宋" w:eastAsia="仿宋" w:cs="仿宋"/>
          <w:bCs/>
          <w:sz w:val="28"/>
          <w:szCs w:val="28"/>
          <w:highlight w:val="none"/>
          <w:u w:val="single"/>
        </w:rPr>
        <w:t>即人民币                元整（大写），¥                元（小写）。</w:t>
      </w:r>
    </w:p>
    <w:p w14:paraId="777930CA">
      <w:pPr>
        <w:spacing w:line="580" w:lineRule="exact"/>
        <w:ind w:firstLine="560" w:firstLineChars="200"/>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乙方提交履约保函的，履约保函应为见索即付的独立保函，出具单位应为国有商业银行。银行保函应当注明项目名称、合同编号和有效期等内容，有效期应大于等于乙方承诺的货物质保期。</w:t>
      </w:r>
    </w:p>
    <w:p w14:paraId="0CD8C4CF">
      <w:pPr>
        <w:spacing w:line="580" w:lineRule="exact"/>
        <w:ind w:firstLine="560" w:firstLineChars="200"/>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本合同项下全部货物验收合格，并由乙方和使用单位共同签署《货物接收和技术培训反馈单》1年后，如货物未发生任何质量问题，甲方向乙方退还乙方提交的支票、汇票、本票或履约保函原件。如乙方存在延迟交货、未开展技术培训、车辆装备非人为因素故障等违约责任，甲方有权不予退还履约保证金，或向履约保函出具银行发出书面索赔通知和相关证明材料，维护甲方权益。</w:t>
      </w:r>
    </w:p>
    <w:p w14:paraId="6DDBCFD3">
      <w:pPr>
        <w:spacing w:line="58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五、付款方式及资金来源</w:t>
      </w:r>
    </w:p>
    <w:p w14:paraId="1265ABCA">
      <w:pPr>
        <w:spacing w:line="58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付款方式：</w:t>
      </w:r>
    </w:p>
    <w:p w14:paraId="5AF31E78">
      <w:pPr>
        <w:spacing w:line="58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第一次付款：甲方在收到乙方提交的付款凭据后</w:t>
      </w:r>
      <w:r>
        <w:rPr>
          <w:rFonts w:hint="eastAsia" w:ascii="仿宋" w:hAnsi="仿宋" w:eastAsia="仿宋" w:cs="仿宋"/>
          <w:bCs/>
          <w:sz w:val="28"/>
          <w:szCs w:val="28"/>
          <w:highlight w:val="none"/>
          <w:lang w:bidi="ar"/>
        </w:rPr>
        <w:t>10个工作日内</w:t>
      </w:r>
      <w:r>
        <w:rPr>
          <w:rFonts w:hint="eastAsia" w:ascii="仿宋" w:hAnsi="仿宋" w:eastAsia="仿宋" w:cs="仿宋"/>
          <w:bCs/>
          <w:sz w:val="28"/>
          <w:szCs w:val="28"/>
          <w:highlight w:val="none"/>
        </w:rPr>
        <w:t>，向乙方支付合同总价的50%，</w:t>
      </w:r>
      <w:r>
        <w:rPr>
          <w:rFonts w:hint="eastAsia" w:ascii="仿宋" w:hAnsi="仿宋" w:eastAsia="仿宋" w:cs="仿宋"/>
          <w:bCs/>
          <w:sz w:val="28"/>
          <w:szCs w:val="28"/>
          <w:highlight w:val="none"/>
          <w:u w:val="single"/>
        </w:rPr>
        <w:t xml:space="preserve">即人民币        </w:t>
      </w:r>
      <w:r>
        <w:rPr>
          <w:rFonts w:hint="eastAsia" w:ascii="仿宋" w:hAnsi="仿宋" w:eastAsia="仿宋" w:cs="仿宋"/>
          <w:bCs/>
          <w:sz w:val="28"/>
          <w:szCs w:val="28"/>
          <w:highlight w:val="none"/>
          <w:u w:val="single"/>
          <w:lang w:val="en-US" w:eastAsia="zh-CN"/>
        </w:rPr>
        <w:t xml:space="preserve">  </w:t>
      </w:r>
      <w:r>
        <w:rPr>
          <w:rFonts w:hint="eastAsia" w:ascii="仿宋" w:hAnsi="仿宋" w:eastAsia="仿宋" w:cs="仿宋"/>
          <w:bCs/>
          <w:sz w:val="28"/>
          <w:szCs w:val="28"/>
          <w:highlight w:val="none"/>
          <w:u w:val="single"/>
        </w:rPr>
        <w:t>元整（大写），¥             元（小写）</w:t>
      </w:r>
      <w:r>
        <w:rPr>
          <w:rFonts w:hint="eastAsia" w:ascii="仿宋" w:hAnsi="仿宋" w:eastAsia="仿宋" w:cs="仿宋"/>
          <w:bCs/>
          <w:sz w:val="28"/>
          <w:szCs w:val="28"/>
          <w:highlight w:val="none"/>
        </w:rPr>
        <w:t>。乙方需提供的付款凭据：预付款收据（盖公司公章或财务专用章）、本合同复印件。</w:t>
      </w:r>
    </w:p>
    <w:p w14:paraId="6451E667">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第二次付款：乙方交货后经甲方验收合格并办理审计结算手续，甲方在收到乙方提交的付款凭据</w:t>
      </w:r>
      <w:r>
        <w:rPr>
          <w:rFonts w:hint="eastAsia" w:ascii="仿宋" w:hAnsi="仿宋" w:eastAsia="仿宋" w:cs="仿宋"/>
          <w:bCs/>
          <w:sz w:val="28"/>
          <w:szCs w:val="28"/>
          <w:highlight w:val="none"/>
          <w:lang w:bidi="ar"/>
        </w:rPr>
        <w:t>10个工作日内</w:t>
      </w:r>
      <w:r>
        <w:rPr>
          <w:rFonts w:hint="eastAsia" w:ascii="仿宋" w:hAnsi="仿宋" w:eastAsia="仿宋" w:cs="仿宋"/>
          <w:bCs/>
          <w:sz w:val="28"/>
          <w:szCs w:val="28"/>
          <w:highlight w:val="none"/>
        </w:rPr>
        <w:t>，向乙方付至结算价格的100%，</w:t>
      </w:r>
      <w:r>
        <w:rPr>
          <w:rFonts w:hint="eastAsia" w:ascii="仿宋" w:hAnsi="仿宋" w:eastAsia="仿宋" w:cs="仿宋"/>
          <w:bCs/>
          <w:sz w:val="28"/>
          <w:szCs w:val="28"/>
          <w:highlight w:val="none"/>
          <w:u w:val="single"/>
        </w:rPr>
        <w:t>即人民币              元整（大写），¥             元（小写）</w:t>
      </w:r>
      <w:r>
        <w:rPr>
          <w:rFonts w:hint="eastAsia" w:ascii="仿宋" w:hAnsi="仿宋" w:eastAsia="仿宋" w:cs="仿宋"/>
          <w:bCs/>
          <w:sz w:val="28"/>
          <w:szCs w:val="28"/>
          <w:highlight w:val="none"/>
        </w:rPr>
        <w:t>。乙方需提供的付款凭据：合同总价全额发票（盖发票专用章）、发票真伪查询证明、本合同原件。</w:t>
      </w:r>
    </w:p>
    <w:p w14:paraId="2AF7EA40">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若乙方提供的付款凭据等资料不全，甲方有权暂不予支付费用并无需承担违约责任。</w:t>
      </w:r>
    </w:p>
    <w:p w14:paraId="6D444EF9">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资金来源：202</w:t>
      </w: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年自治区财政配套资金。</w:t>
      </w:r>
    </w:p>
    <w:p w14:paraId="71FCDF56">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六、方案对接和技术交底</w:t>
      </w:r>
    </w:p>
    <w:p w14:paraId="4447CE54">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甲方在合同签订后3个工作日，通知（包括但不限于电话、邮件、短信、信件等方式）乙方需要开展方案对接和技术交底的货物名称。</w:t>
      </w:r>
    </w:p>
    <w:p w14:paraId="538909F6">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消防车辆等定制类货物生产前，需要甲方确认内部构造等特殊设计和定制要求的，乙方应当在合同签订后10个工作日内向甲方提供技术方案，进行方案对接。乙方提供的技术方案不得对乙方《投标文件》确定的事项作实质性修改。</w:t>
      </w:r>
    </w:p>
    <w:p w14:paraId="38578B1D">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消防装备等货物在批量生产前，甲方需要在乙方《投标文件》基础上进一步掌握货物性能指标的，乙方应当在合同签订后10个工作日内将标样送至甲方指定交货地点进行技术交底。技术交底通过的，由甲方通知乙方进行批量生产；技术交底未通过的，由甲方告知乙方存在的问题，乙方应当在交货期限内整改完毕。</w:t>
      </w:r>
    </w:p>
    <w:p w14:paraId="114BDCE0">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乙方提交的标样无论技术交底是否通过，在交货时仍需向甲方提出验收申请，由甲方组织开展验收，评判验收结论并出具正式的《验收报告》。</w:t>
      </w:r>
    </w:p>
    <w:p w14:paraId="25422D1E">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七、验收标准</w:t>
      </w:r>
    </w:p>
    <w:p w14:paraId="34408E9A">
      <w:pPr>
        <w:tabs>
          <w:tab w:val="left" w:pos="1155"/>
        </w:tabs>
        <w:spacing w:line="600" w:lineRule="exact"/>
        <w:ind w:firstLine="560" w:firstLineChars="200"/>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乙方应自</w:t>
      </w:r>
      <w:r>
        <w:rPr>
          <w:rFonts w:hint="eastAsia" w:ascii="仿宋" w:hAnsi="仿宋" w:eastAsia="仿宋" w:cs="仿宋"/>
          <w:bCs/>
          <w:sz w:val="28"/>
          <w:szCs w:val="28"/>
          <w:highlight w:val="none"/>
        </w:rPr>
        <w:t>本合同约定的所有</w:t>
      </w:r>
      <w:r>
        <w:rPr>
          <w:rFonts w:hint="eastAsia" w:ascii="仿宋" w:hAnsi="仿宋" w:eastAsia="仿宋" w:cs="仿宋"/>
          <w:bCs/>
          <w:sz w:val="28"/>
          <w:szCs w:val="28"/>
          <w:highlight w:val="none"/>
          <w:lang w:bidi="ar"/>
        </w:rPr>
        <w:t>货物交付之日起10日</w:t>
      </w:r>
      <w:r>
        <w:rPr>
          <w:rFonts w:hint="eastAsia" w:ascii="仿宋" w:hAnsi="仿宋" w:eastAsia="仿宋" w:cs="仿宋"/>
          <w:bCs/>
          <w:sz w:val="28"/>
          <w:szCs w:val="28"/>
          <w:highlight w:val="none"/>
        </w:rPr>
        <w:t>历天</w:t>
      </w:r>
      <w:r>
        <w:rPr>
          <w:rFonts w:hint="eastAsia" w:ascii="仿宋" w:hAnsi="仿宋" w:eastAsia="仿宋" w:cs="仿宋"/>
          <w:bCs/>
          <w:sz w:val="28"/>
          <w:szCs w:val="28"/>
          <w:highlight w:val="none"/>
          <w:lang w:bidi="ar"/>
        </w:rPr>
        <w:t>内，向甲方提出验收申请，甲方确定验收时间后，提前3个工作日通知乙方。验收具体要求按照《宁夏消防救援总队消防装备采购需求和履约验收管理实施细则》等相关规定执行。</w:t>
      </w:r>
    </w:p>
    <w:p w14:paraId="7BCAE2E6">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（一）验收评判结果的分类及定义</w:t>
      </w:r>
    </w:p>
    <w:p w14:paraId="2AEDFAC0">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验收分初验和复验，评判结果分为“合格”“不合格”两种。</w:t>
      </w:r>
    </w:p>
    <w:p w14:paraId="20A66CD5">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合格，是指受检货物质量符合国家标准和行业标准，具备乙方《投标文件》所描述的货物应当具备的使用性能，符合以货物说明、实物样品等方式表明的质量状况。</w:t>
      </w:r>
    </w:p>
    <w:p w14:paraId="5E52DA1E">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不合格，是指受检货物质量不符合国家标准和行业标准，或不具备乙方《投标文件》所描述的货物应当具备的使用性能，或不符合以货物说明书、实物样品等方式表明的质量状况，存在一定缺陷。不合格货物验收评判结果分以下两种情形：</w:t>
      </w:r>
    </w:p>
    <w:p w14:paraId="5B939AF0">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无实质性功能缺陷货物，是指受检货物质量符合国家标准和行业标准，符合以货物说明、实物样品等方式表明的质量状况，无安全隐患，能够满足甲方实际使用要求，但与乙方《投标文件》所描述的货物性能有一定差异。</w:t>
      </w:r>
    </w:p>
    <w:p w14:paraId="15D9EC99">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2.有实质性功能缺陷货物，是指受检货物质量不符合国家标准和行业标准，不具备货物应当具备的使用性能，不符合以货物说明书、实物样品等方式表明的质量状况，有安全隐患，存在重大功能缺陷。</w:t>
      </w:r>
    </w:p>
    <w:p w14:paraId="6805E0E5">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（二）验收评判办法</w:t>
      </w:r>
    </w:p>
    <w:p w14:paraId="7E17251A">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1.初验阶段</w:t>
      </w:r>
    </w:p>
    <w:p w14:paraId="761FD209">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（1）初验判定为“合格”的货物，甲方向乙方发出《初验评判结果告知书》，清点数量后，收货配发并组织乙方开展操作培训。</w:t>
      </w:r>
    </w:p>
    <w:p w14:paraId="0675CEEF">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（2）初验判定为“不合格”的货物，甲方向乙方发出《初验评判结果告知书》，乙方应当在15日历天内整改完毕，并提出复验申请。</w:t>
      </w:r>
    </w:p>
    <w:p w14:paraId="3A7F1129">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（3）因乙方提供的货物存在需强制送检或资料不全等问题，暂时无法评判验收结果的货物，乙方应当出具《延期验收申请》，并报经甲方签字确认。待乙方补充相关技术资料后开展验收。</w:t>
      </w:r>
    </w:p>
    <w:p w14:paraId="0DA75B0E">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2.复验阶段</w:t>
      </w:r>
    </w:p>
    <w:p w14:paraId="39F0017E">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（1）乙方限期已对初验判定为“不合格”货物所存在的问题进行了彻底整改，复验判定为“合格”。甲方向乙方发出《复验评判结果告知书》，清点数量后，收货配发并组织乙方开展操作培训。</w:t>
      </w:r>
    </w:p>
    <w:p w14:paraId="4997EBEC">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（2）乙方在限期内对初验判定为“不合格”货物所存在的问题未整改或整改不彻底，复验评判为“不合格”。 甲方向乙方发出《复验评判结果告知书》，评判乙方提供的货物是否存在实质性功能缺陷，并按照本合同第九条有关约定，追究乙方违约责任。</w:t>
      </w:r>
    </w:p>
    <w:p w14:paraId="46A859B2">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（三）上述验收标准，最终以甲方向乙方出具的正式《验收报告》为准，《初验或复验评判结果告知书》不等同于《验收报告》，双方以《验收报告》来确认乙方提供货物是否达到最终合格标准的判断依据。</w:t>
      </w:r>
    </w:p>
    <w:p w14:paraId="5E916853">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八、质量要求及售后服务</w:t>
      </w:r>
    </w:p>
    <w:p w14:paraId="5440F9C9">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（一）乙方保证向甲方提供的货物皆为符合国家标准的合格产品，是生产厂商原造的、全新的，并完全符合乙方《投标文件》所描述的货物性能。</w:t>
      </w:r>
    </w:p>
    <w:p w14:paraId="54DEACD7">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（二）乙方提供本合同约定所有</w:t>
      </w:r>
      <w:r>
        <w:rPr>
          <w:rFonts w:hint="eastAsia" w:ascii="仿宋" w:hAnsi="仿宋" w:eastAsia="仿宋" w:cs="仿宋"/>
          <w:bCs/>
          <w:sz w:val="28"/>
          <w:szCs w:val="28"/>
          <w:highlight w:val="none"/>
          <w:lang w:bidi="ar"/>
        </w:rPr>
        <w:t>货物</w:t>
      </w:r>
      <w:r>
        <w:rPr>
          <w:rFonts w:hint="eastAsia" w:ascii="仿宋" w:hAnsi="仿宋" w:eastAsia="仿宋" w:cs="仿宋"/>
          <w:bCs/>
          <w:sz w:val="28"/>
          <w:szCs w:val="28"/>
          <w:highlight w:val="none"/>
        </w:rPr>
        <w:t>的《货物质量保障和售后服务承诺书》（见附件2），并列明主要零部件和易损易耗配件出厂价。</w:t>
      </w:r>
    </w:p>
    <w:p w14:paraId="3E0E6AAB">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（三）货物的质保期和保修期。质保期自验收合格之日起</w:t>
      </w:r>
      <w:r>
        <w:rPr>
          <w:rFonts w:hint="eastAsia" w:ascii="仿宋" w:hAnsi="仿宋" w:eastAsia="仿宋" w:cs="仿宋"/>
          <w:bCs/>
          <w:sz w:val="28"/>
          <w:szCs w:val="28"/>
          <w:highlight w:val="none"/>
          <w:u w:val="single"/>
          <w:lang w:val="en-US" w:eastAsia="zh-CN"/>
        </w:rPr>
        <w:t xml:space="preserve">   </w:t>
      </w:r>
      <w:r>
        <w:rPr>
          <w:rFonts w:hint="eastAsia" w:ascii="仿宋" w:hAnsi="仿宋" w:eastAsia="仿宋" w:cs="仿宋"/>
          <w:bCs/>
          <w:sz w:val="28"/>
          <w:szCs w:val="28"/>
          <w:highlight w:val="none"/>
          <w:u w:val="none"/>
          <w:lang w:val="en-US" w:eastAsia="zh-CN"/>
        </w:rPr>
        <w:t>年</w:t>
      </w:r>
      <w:r>
        <w:rPr>
          <w:rFonts w:hint="eastAsia" w:ascii="仿宋" w:hAnsi="仿宋" w:eastAsia="仿宋" w:cs="仿宋"/>
          <w:bCs/>
          <w:sz w:val="28"/>
          <w:szCs w:val="28"/>
          <w:highlight w:val="none"/>
        </w:rPr>
        <w:t>，保修期自质保期满之日起后</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 xml:space="preserve">年。质保期内，如发生任何非人为质量问题，乙方应免费维修并更换配件；无法维修的，须免费更换本合同采购的货物；需保养的车辆装备应至少免费保养一次。保修期内，如发生任何质量问题，乙方须按出厂价更换本合同采购货物涉及的主要零部件和易损易耗配件。质保期和保修期内因维修保养产生的差旅费及其他费用由乙方承担。 </w:t>
      </w:r>
    </w:p>
    <w:p w14:paraId="0395FE04">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（四）甲方在使用中自行变更货物的硬件或软件而引起的缺陷，或因甲方人员维护不当而损坏的货物或零部件，乙方须提供货物的维修及零部件的更换等服务，但由此引起的全部费用由甲方承担。</w:t>
      </w:r>
    </w:p>
    <w:p w14:paraId="509A4B5E">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五）乙方向甲方提供的货物硬件或软件有缺陷，或提供的技术资料有错误，或乙方技术人员现场指导有错误，致使货物不能达到合同规定的指标和技术性能，乙方应负责修理或更换有缺陷和损坏的货物硬件或软件，使货物运行指标和技术性能达到合同规定，由此引起的全部费用由乙方承担。</w:t>
      </w:r>
    </w:p>
    <w:p w14:paraId="0F740A75">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（六）在货物</w:t>
      </w:r>
      <w:r>
        <w:rPr>
          <w:rFonts w:hint="eastAsia" w:ascii="仿宋" w:hAnsi="仿宋" w:eastAsia="仿宋" w:cs="仿宋"/>
          <w:bCs/>
          <w:sz w:val="28"/>
          <w:szCs w:val="28"/>
          <w:highlight w:val="none"/>
          <w:lang w:eastAsia="zh-CN"/>
        </w:rPr>
        <w:t>质保期、</w:t>
      </w:r>
      <w:r>
        <w:rPr>
          <w:rFonts w:hint="eastAsia" w:ascii="仿宋" w:hAnsi="仿宋" w:eastAsia="仿宋" w:cs="仿宋"/>
          <w:bCs/>
          <w:sz w:val="28"/>
          <w:szCs w:val="28"/>
          <w:highlight w:val="none"/>
        </w:rPr>
        <w:t>保修期内，由于乙方更换、修理和续补，造成货物停止使用，</w:t>
      </w:r>
      <w:r>
        <w:rPr>
          <w:rFonts w:hint="eastAsia" w:ascii="仿宋" w:hAnsi="仿宋" w:eastAsia="仿宋" w:cs="仿宋"/>
          <w:bCs/>
          <w:sz w:val="28"/>
          <w:szCs w:val="28"/>
          <w:highlight w:val="none"/>
          <w:lang w:eastAsia="zh-CN"/>
        </w:rPr>
        <w:t>质保期、</w:t>
      </w:r>
      <w:r>
        <w:rPr>
          <w:rFonts w:hint="eastAsia" w:ascii="仿宋" w:hAnsi="仿宋" w:eastAsia="仿宋" w:cs="仿宋"/>
          <w:bCs/>
          <w:sz w:val="28"/>
          <w:szCs w:val="28"/>
          <w:highlight w:val="none"/>
        </w:rPr>
        <w:t>保修期应</w:t>
      </w:r>
      <w:r>
        <w:rPr>
          <w:rFonts w:hint="eastAsia" w:ascii="仿宋" w:hAnsi="仿宋" w:eastAsia="仿宋" w:cs="仿宋"/>
          <w:bCs/>
          <w:sz w:val="28"/>
          <w:szCs w:val="28"/>
          <w:highlight w:val="none"/>
          <w:lang w:eastAsia="zh-CN"/>
        </w:rPr>
        <w:t>分别</w:t>
      </w:r>
      <w:r>
        <w:rPr>
          <w:rFonts w:hint="eastAsia" w:ascii="仿宋" w:hAnsi="仿宋" w:eastAsia="仿宋" w:cs="仿宋"/>
          <w:bCs/>
          <w:sz w:val="28"/>
          <w:szCs w:val="28"/>
          <w:highlight w:val="none"/>
        </w:rPr>
        <w:t>按停止使用的时间向后延长，由此给甲方造成损失，乙方应负责赔偿。</w:t>
      </w:r>
    </w:p>
    <w:p w14:paraId="2E2527A5">
      <w:pPr>
        <w:spacing w:line="5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（七）乙方应当保证甲方的货物正常使用，如发生故障应及时排除，货物使用期间发生任何质量问题，维修所产生的检测费、工时费、人员差旅费等相关费用由乙方承担。</w:t>
      </w:r>
    </w:p>
    <w:p w14:paraId="76822433">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九、违约责任</w:t>
      </w:r>
    </w:p>
    <w:p w14:paraId="00EFB15C">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甲乙双方中任一方不履行合同义务或者履行合同义务不符合约定的，应当承担继续履行、采取补救措施或者赔偿损失等违约责任。给对方造成损失的，应当向对方进行赔偿，赔偿金按合同约定相应条款执行。</w:t>
      </w:r>
    </w:p>
    <w:p w14:paraId="257F4B94">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（二）甲方若同意乙方延长交货期限或延期提供服务，由此给甲方造成直接损失的由乙方负责赔偿。</w:t>
      </w:r>
    </w:p>
    <w:p w14:paraId="766E69DA">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（三）甲方若同意乙方在规定时间内更换规格质量和性能要求一致的货物或更换零件、部件，由此发生的相关费用由乙方承担</w:t>
      </w:r>
      <w:r>
        <w:rPr>
          <w:rFonts w:hint="eastAsia" w:ascii="仿宋" w:hAnsi="仿宋" w:eastAsia="仿宋" w:cs="仿宋"/>
          <w:bCs/>
          <w:sz w:val="28"/>
          <w:szCs w:val="28"/>
          <w:highlight w:val="none"/>
          <w:lang w:bidi="ar"/>
        </w:rPr>
        <w:t>。当更换货物或更换零件、部件完成时间超过本合同约定的交货时间时，乙方应当承担延期交货的违约责任。</w:t>
      </w:r>
    </w:p>
    <w:p w14:paraId="44AF0A07">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（四）</w:t>
      </w:r>
      <w:r>
        <w:rPr>
          <w:rFonts w:hint="eastAsia" w:ascii="仿宋" w:hAnsi="仿宋" w:eastAsia="仿宋" w:cs="仿宋"/>
          <w:bCs/>
          <w:sz w:val="28"/>
          <w:szCs w:val="28"/>
          <w:highlight w:val="none"/>
          <w:lang w:bidi="ar"/>
        </w:rPr>
        <w:t>货物中包含甲方所需特殊设计或定制要求，须提前与甲方沟通，取得甲方同意方可实施。乙方在中标后应按照采购文件、投标文件的内容进行设计，设计须符合国家和地方有关法律法规，现行行业标准、规范及采购人的要求，如未按相关要求进行设计，则视为违约。乙方货物设计、生产中涉及的材料、部件须选用满足甲方要求和国家现行相关质量标准的货物，所用材料部件不符合要求的视为违约。</w:t>
      </w:r>
      <w:r>
        <w:rPr>
          <w:rFonts w:hint="eastAsia" w:ascii="仿宋" w:hAnsi="仿宋" w:eastAsia="仿宋" w:cs="仿宋"/>
          <w:bCs/>
          <w:sz w:val="28"/>
          <w:szCs w:val="28"/>
          <w:highlight w:val="none"/>
        </w:rPr>
        <w:t>乙方未按照合同约定的要求向甲方交付货物和提供服务，或交付货物不符合要求的，或交付的货物达不到乙方承诺标准的，初验和复验均判定为“不合格”，甲方有权直接要求乙方按照下列方式承担责任：</w:t>
      </w:r>
    </w:p>
    <w:p w14:paraId="0B521800">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乙方交付的货物复验评判为无实质性功能缺陷的，乙方应当继续整改存在的问题，甲方有权直接从未支付合同价款中扣除“不合格”货物合同金额10%的违约金，并承担给甲方造成的全部损失。待存在的问题整改完毕和违约责任处理结束后，清点数量，收货配发并组织乙方开展操作培训。</w:t>
      </w:r>
    </w:p>
    <w:p w14:paraId="58A55F9E">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2.乙方交付的货物复验评判为有实质性功能缺陷的，甲方有权解除本合同后作退货处理，乙方应向甲方退还已支付的全部费用并承担合同总额20%违约金，并承担给甲方造成的全部损失。乙方向甲方退款并支付违约金前，甲方有权扣留乙方交付的货物，并优先从履约保证金中扣除乙方应支付的违约金或直接要求提供履约保函的银行承担赔偿责任，剩余部分款项甲方有权继续向乙方追索。</w:t>
      </w:r>
    </w:p>
    <w:p w14:paraId="396179AB">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以上所述的全部损失是指乙方提供的货物因延迟投入使用给甲方造成的全部经济损失，包括但不限于已支付货款利息、违约期内每日合同金额0.1%的违约金、同类货物的租赁费等。违约期是指本合同约定的所有货物交货日期至乙方提交的</w:t>
      </w:r>
      <w:r>
        <w:rPr>
          <w:rFonts w:hint="eastAsia" w:ascii="仿宋" w:hAnsi="仿宋" w:eastAsia="仿宋" w:cs="仿宋"/>
          <w:bCs/>
          <w:kern w:val="0"/>
          <w:sz w:val="28"/>
          <w:szCs w:val="28"/>
          <w:highlight w:val="none"/>
        </w:rPr>
        <w:t>所有</w:t>
      </w:r>
      <w:r>
        <w:rPr>
          <w:rFonts w:hint="eastAsia" w:ascii="仿宋" w:hAnsi="仿宋" w:eastAsia="仿宋" w:cs="仿宋"/>
          <w:bCs/>
          <w:sz w:val="28"/>
          <w:szCs w:val="28"/>
          <w:highlight w:val="none"/>
        </w:rPr>
        <w:t>货物最终抵达甲方指定交货地点的日期。</w:t>
      </w:r>
    </w:p>
    <w:p w14:paraId="665CFED7">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（五）乙方延长交货日期，</w:t>
      </w:r>
      <w:r>
        <w:rPr>
          <w:rFonts w:hint="eastAsia" w:ascii="仿宋" w:hAnsi="仿宋" w:eastAsia="仿宋" w:cs="仿宋"/>
          <w:bCs/>
          <w:sz w:val="28"/>
          <w:szCs w:val="28"/>
          <w:highlight w:val="none"/>
          <w:lang w:eastAsia="zh-CN"/>
        </w:rPr>
        <w:t>未超过</w:t>
      </w:r>
      <w:r>
        <w:rPr>
          <w:rFonts w:hint="eastAsia" w:ascii="仿宋" w:hAnsi="仿宋" w:eastAsia="仿宋" w:cs="仿宋"/>
          <w:bCs/>
          <w:sz w:val="28"/>
          <w:szCs w:val="28"/>
          <w:highlight w:val="none"/>
          <w:lang w:val="en-US" w:eastAsia="zh-CN"/>
        </w:rPr>
        <w:t>10日的，甲方可免于处罚；超过10日，未超过30日的，乙方应当按照实际交货日期延长1年的质保期</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逾期超过30日，</w:t>
      </w:r>
      <w:r>
        <w:rPr>
          <w:rFonts w:hint="eastAsia" w:ascii="仿宋" w:hAnsi="仿宋" w:eastAsia="仿宋" w:cs="仿宋"/>
          <w:bCs/>
          <w:sz w:val="28"/>
          <w:szCs w:val="28"/>
          <w:highlight w:val="none"/>
          <w:lang w:val="en-US" w:eastAsia="zh-CN"/>
        </w:rPr>
        <w:t>未超过60日的，</w:t>
      </w:r>
      <w:r>
        <w:rPr>
          <w:rFonts w:hint="eastAsia" w:ascii="仿宋" w:hAnsi="仿宋" w:eastAsia="仿宋" w:cs="仿宋"/>
          <w:bCs/>
          <w:sz w:val="28"/>
          <w:szCs w:val="28"/>
          <w:highlight w:val="none"/>
        </w:rPr>
        <w:t>每逾期1日，</w:t>
      </w:r>
      <w:r>
        <w:rPr>
          <w:rFonts w:hint="eastAsia" w:ascii="仿宋" w:hAnsi="仿宋" w:eastAsia="仿宋" w:cs="仿宋"/>
          <w:bCs/>
          <w:sz w:val="28"/>
          <w:szCs w:val="28"/>
          <w:highlight w:val="none"/>
          <w:lang w:eastAsia="zh-CN"/>
        </w:rPr>
        <w:t>乙方</w:t>
      </w:r>
      <w:r>
        <w:rPr>
          <w:rFonts w:hint="eastAsia" w:ascii="仿宋" w:hAnsi="仿宋" w:eastAsia="仿宋" w:cs="仿宋"/>
          <w:bCs/>
          <w:sz w:val="28"/>
          <w:szCs w:val="28"/>
          <w:highlight w:val="none"/>
        </w:rPr>
        <w:t>应按合同总金额的0.1%向甲方支付违约金</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逾期超过</w:t>
      </w:r>
      <w:r>
        <w:rPr>
          <w:rFonts w:hint="eastAsia" w:ascii="仿宋" w:hAnsi="仿宋" w:eastAsia="仿宋" w:cs="仿宋"/>
          <w:bCs/>
          <w:sz w:val="28"/>
          <w:szCs w:val="28"/>
          <w:highlight w:val="none"/>
          <w:lang w:val="en-US" w:eastAsia="zh-CN"/>
        </w:rPr>
        <w:t>60</w:t>
      </w:r>
      <w:r>
        <w:rPr>
          <w:rFonts w:hint="eastAsia" w:ascii="仿宋" w:hAnsi="仿宋" w:eastAsia="仿宋" w:cs="仿宋"/>
          <w:bCs/>
          <w:sz w:val="28"/>
          <w:szCs w:val="28"/>
          <w:highlight w:val="none"/>
        </w:rPr>
        <w:t>日，甲方有权解除合同</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乙方应向甲方退还已支付的全部货款并承担合同总额20%</w:t>
      </w:r>
      <w:r>
        <w:rPr>
          <w:rFonts w:hint="eastAsia" w:ascii="仿宋" w:hAnsi="仿宋" w:eastAsia="仿宋" w:cs="仿宋"/>
          <w:bCs/>
          <w:sz w:val="28"/>
          <w:szCs w:val="28"/>
          <w:highlight w:val="none"/>
          <w:lang w:eastAsia="zh-CN"/>
        </w:rPr>
        <w:t>的违约金，违约金不足以赔偿由此产生的损失，乙方仍需追加赔偿。</w:t>
      </w:r>
      <w:r>
        <w:rPr>
          <w:rFonts w:hint="eastAsia" w:ascii="仿宋" w:hAnsi="仿宋" w:eastAsia="仿宋" w:cs="仿宋"/>
          <w:bCs/>
          <w:sz w:val="28"/>
          <w:szCs w:val="28"/>
          <w:highlight w:val="none"/>
        </w:rPr>
        <w:t>乙方不退还已支付货款并承担违约金的，</w:t>
      </w:r>
      <w:r>
        <w:rPr>
          <w:rFonts w:hint="eastAsia" w:ascii="仿宋" w:hAnsi="仿宋" w:eastAsia="仿宋" w:cs="仿宋"/>
          <w:bCs/>
          <w:sz w:val="28"/>
          <w:szCs w:val="28"/>
          <w:highlight w:val="none"/>
          <w:lang w:bidi="ar"/>
        </w:rPr>
        <w:t>甲方有权不予退还乙方提交的履约保证金或直接要求提供履约保函的银行承担赔偿责任，剩余部分款项甲方有权继续向乙方追索。</w:t>
      </w:r>
    </w:p>
    <w:p w14:paraId="77BEDFA5">
      <w:pPr>
        <w:spacing w:line="600" w:lineRule="exact"/>
        <w:ind w:firstLine="560" w:firstLineChars="200"/>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rPr>
        <w:t>（六）乙方因非不可抗力原因导致无法交货的，甲方有权单方解除合同，乙方应向甲方退还已支付的全部货款并承担合同总额20%的违约金。乙方不退还已支付货款并承担违约金的，甲方有权不予退还乙方提交的履约保证金或直接要求提供履约保函的银行承担赔偿责任，剩余部分款项甲方有权继续向乙方追索。</w:t>
      </w:r>
    </w:p>
    <w:p w14:paraId="2D8B5DC8">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lang w:bidi="ar"/>
        </w:rPr>
        <w:t>（七）乙方提供的货物为假冒伪劣产品的，甲方有权单方解除合同，乙方应向甲方退还已支付的全部货款并承担合同总额20%的违约金。乙方不退还已支付货款并承担违约金的，甲方有权扣留乙方交付的货物，并不予退还乙方提交的履约保证金或直接要求提供履约保函的银行承担赔偿责任，剩余部分款项甲方有权继续向乙方追索。</w:t>
      </w:r>
    </w:p>
    <w:p w14:paraId="41958CA9">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lang w:bidi="ar"/>
        </w:rPr>
        <w:t>（八）乙方在保修期内拒不履行保修义务，影响货物使用的，甲方有权采取包括但不限于委托第三方进行维修等补救措施，因此产生的一切费用由乙方承担，且甲方有权单方解除合同，乙方应向甲方退还已支付的全部费用并承担合同总额20%的违约金。乙方不退还已支付货款并承担违约金的，甲方有权扣留乙方交付的货物，并不予退还乙方提交的履约保证金或直接要求提供履约保函的银行承担赔偿责任，剩余部分款项甲方有权继续向乙方追索。</w:t>
      </w:r>
    </w:p>
    <w:p w14:paraId="24CF249A">
      <w:pPr>
        <w:spacing w:line="600" w:lineRule="exact"/>
        <w:ind w:firstLine="560" w:firstLineChars="200"/>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九）乙方未按照合同约定及甲方要求提供技术培训、教学服务的，甲方有权委托第三方针对本合同项下货物进行相应技术培训和教学，因此产生的费用全部由乙方承担，同时乙方应向甲方支付合同总价款20%的违约金；因此导致甲方无法正常使用货物的，甲方有权单方解除合同，乙方应向甲方退还已支付的全部费用，并承担合同总额20%的违约金。乙方未退还已支付货款并承担违约金的，甲方有权扣留乙方交付的货物，并不予退还乙方提交的履约保证金或直接要求提供履约保函的银行承担赔偿责任，剩余部分款项甲方有权继续向乙方追索。</w:t>
      </w:r>
    </w:p>
    <w:p w14:paraId="31D9D455">
      <w:pPr>
        <w:spacing w:line="600" w:lineRule="exact"/>
        <w:ind w:firstLine="560" w:firstLineChars="200"/>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（十）乙方收到甲方的违约通知（包括但不限于电话、邮件、短信、信件等方式）后7日</w:t>
      </w:r>
      <w:r>
        <w:rPr>
          <w:rFonts w:hint="eastAsia" w:ascii="仿宋" w:hAnsi="仿宋" w:eastAsia="仿宋" w:cs="仿宋"/>
          <w:bCs/>
          <w:sz w:val="28"/>
          <w:szCs w:val="28"/>
          <w:highlight w:val="none"/>
          <w:lang w:val="en-US" w:eastAsia="zh-CN" w:bidi="ar"/>
        </w:rPr>
        <w:t>历天</w:t>
      </w:r>
      <w:r>
        <w:rPr>
          <w:rFonts w:hint="eastAsia" w:ascii="仿宋" w:hAnsi="仿宋" w:eastAsia="仿宋" w:cs="仿宋"/>
          <w:bCs/>
          <w:sz w:val="28"/>
          <w:szCs w:val="28"/>
          <w:highlight w:val="none"/>
          <w:lang w:bidi="ar"/>
        </w:rPr>
        <w:t>内未答复的，甲方有权不予退还乙方提交的履约保证金或直接要求提供履约保函的银行承担赔偿责任，履约保证金或履约保函不足以支付乙方应承担的违约金以及弥补给甲方造成损失的，乙方应另行承担。</w:t>
      </w:r>
    </w:p>
    <w:p w14:paraId="3FA92503">
      <w:pPr>
        <w:spacing w:line="600" w:lineRule="exact"/>
        <w:ind w:firstLine="560" w:firstLineChars="200"/>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十一）乙方擅自将本合同项下义务全部或部分转让给其他第三方的，甲方有权单方解除合同，乙方应向甲方退还已支付的全部货款并承担合同总额20%的违约金。乙方不退还已支付货款并承担违约金的，甲方有权不予退还乙方提交的履约保证金或直接要求提供履约保函的银行承担赔偿责任，剩余部分款项甲方有权继续向乙方追索。</w:t>
      </w:r>
    </w:p>
    <w:p w14:paraId="2212BBC0">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十、甲乙双方的义务</w:t>
      </w:r>
    </w:p>
    <w:p w14:paraId="11782C9E">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甲乙双方可以约定一方解除合同的条件。解除合同的条件成立时，解除权人可以解除合同。出现下列情形之一的，应当解除或终止合同。</w:t>
      </w:r>
    </w:p>
    <w:p w14:paraId="30338AFC">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（一）因不可抗力致使不能实现合同目的；</w:t>
      </w:r>
    </w:p>
    <w:p w14:paraId="27DCABD6">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（二）在履行合同期满前，任一方明确表示不能继续履行合同的；</w:t>
      </w:r>
    </w:p>
    <w:p w14:paraId="6BE44917">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（三）任一方延迟履行合同，经催告</w:t>
      </w:r>
      <w:r>
        <w:rPr>
          <w:rFonts w:hint="eastAsia" w:ascii="仿宋" w:hAnsi="仿宋" w:eastAsia="仿宋" w:cs="仿宋"/>
          <w:bCs/>
          <w:sz w:val="28"/>
          <w:szCs w:val="28"/>
          <w:highlight w:val="none"/>
          <w:lang w:val="en-US" w:eastAsia="zh-CN" w:bidi="ar"/>
        </w:rPr>
        <w:t>30</w:t>
      </w:r>
      <w:r>
        <w:rPr>
          <w:rFonts w:hint="eastAsia" w:ascii="仿宋" w:hAnsi="仿宋" w:eastAsia="仿宋" w:cs="仿宋"/>
          <w:bCs/>
          <w:sz w:val="28"/>
          <w:szCs w:val="28"/>
          <w:highlight w:val="none"/>
          <w:lang w:bidi="ar"/>
        </w:rPr>
        <w:t>日内仍未履行或提出解决方案的</w:t>
      </w:r>
      <w:r>
        <w:rPr>
          <w:rFonts w:hint="eastAsia" w:ascii="仿宋" w:hAnsi="仿宋" w:eastAsia="仿宋" w:cs="仿宋"/>
          <w:bCs/>
          <w:sz w:val="28"/>
          <w:szCs w:val="28"/>
          <w:highlight w:val="none"/>
        </w:rPr>
        <w:t>；</w:t>
      </w:r>
    </w:p>
    <w:p w14:paraId="11C650AC">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（四）因国家政策调整或机构体制改革致使合同无法履行的；</w:t>
      </w:r>
    </w:p>
    <w:p w14:paraId="7D0319DE">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（五）本合同约定和法律规定的其他情形。</w:t>
      </w:r>
    </w:p>
    <w:p w14:paraId="5B2556FA">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1.甲方的义务</w:t>
      </w:r>
    </w:p>
    <w:p w14:paraId="6B82D6A4">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（1）遵循诚实信用原则，按照合同内容履行其责任；</w:t>
      </w:r>
    </w:p>
    <w:p w14:paraId="14F69710">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（2）乙方的货物到达时，甲方应给乙方提供货物存放及安装场地；</w:t>
      </w:r>
    </w:p>
    <w:p w14:paraId="619D5A79">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（3）在保修期内，由甲方人员操作失误造成货物的零部件损坏，甲方承担其费用。</w:t>
      </w:r>
    </w:p>
    <w:p w14:paraId="4FCFE4CB">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2.乙方的义务</w:t>
      </w:r>
    </w:p>
    <w:p w14:paraId="4A4039A6">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（1）遵循诚实信用原则，按照合同内容履行其责任，如发生违约行为承担责任；</w:t>
      </w:r>
    </w:p>
    <w:p w14:paraId="4F1C169B">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（2）乙方提供货物的数量、质量、单价、技术要求等必须与投标文件承诺内容和中标通知书一致；</w:t>
      </w:r>
    </w:p>
    <w:p w14:paraId="1D64F32E">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（3）按规定时间内交付货物；</w:t>
      </w:r>
    </w:p>
    <w:p w14:paraId="36374FC3">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（4）乙方承担提供交付货物的运输、保险、装卸、安装调试及税费等所有费用；</w:t>
      </w:r>
    </w:p>
    <w:p w14:paraId="347685A9">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（5）经甲方验收合格后，乙方应采取多媒体教学、实教操作等多种形式，组织甲方相关人员进行培训，确保甲方人员会使用、会操作、会排除一般故障。</w:t>
      </w:r>
    </w:p>
    <w:p w14:paraId="2530BF12">
      <w:pPr>
        <w:pStyle w:val="4"/>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（6）乙方应按投标文件的响应条款和承诺内容履行相应义务。</w:t>
      </w:r>
    </w:p>
    <w:p w14:paraId="38EFC2A7">
      <w:pPr>
        <w:pStyle w:val="4"/>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（7）未经甲方书面授权或同意，乙方不得以任何方式将项目转交第三方或由第三方提供相关服务，否则，乙方应承担相应违约责任。</w:t>
      </w:r>
    </w:p>
    <w:p w14:paraId="79A5633C">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十一、不可抗力</w:t>
      </w:r>
    </w:p>
    <w:p w14:paraId="740AF652">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（一）不可抗力指下列事件：战争、动乱、瘟疫、严重火灾、洪水、地震、风暴或其他自然灾害，以及本合同各方不可预见、不可防止并不能避免或克服的一切其他因素及事件。</w:t>
      </w:r>
    </w:p>
    <w:p w14:paraId="352E0E4C">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（二）任何一方因不可抗力不能履行本合同规定的全部或部分义务，应尽快通知另一方，并须在不可抗力发生后三日内以书面形式向另一方提供详细情况报告及不可抗力对履行本合同的影响程度的说明。</w:t>
      </w:r>
    </w:p>
    <w:p w14:paraId="2FAAE31D">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三）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4A3864FB">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（四）合同各方应根据不可抗力对本合同履行的影响程度，协商确定是否终止本合同，或是继续履行本合同。</w:t>
      </w:r>
    </w:p>
    <w:p w14:paraId="7C6FCD28">
      <w:pPr>
        <w:spacing w:line="600" w:lineRule="exact"/>
        <w:ind w:firstLine="560" w:firstLineChars="200"/>
        <w:rPr>
          <w:rFonts w:hint="eastAsia" w:ascii="仿宋" w:hAnsi="仿宋" w:eastAsia="仿宋" w:cs="仿宋"/>
          <w:bCs/>
          <w:sz w:val="28"/>
          <w:szCs w:val="28"/>
          <w:highlight w:val="none"/>
        </w:rPr>
      </w:pPr>
      <w:bookmarkStart w:id="2" w:name="_Toc428867728"/>
      <w:bookmarkEnd w:id="2"/>
      <w:bookmarkStart w:id="3" w:name="_Hlk82005470"/>
      <w:bookmarkEnd w:id="3"/>
      <w:bookmarkStart w:id="4" w:name="_Toc427242828"/>
      <w:bookmarkEnd w:id="4"/>
      <w:r>
        <w:rPr>
          <w:rFonts w:hint="eastAsia" w:ascii="仿宋" w:hAnsi="仿宋" w:eastAsia="仿宋" w:cs="仿宋"/>
          <w:bCs/>
          <w:sz w:val="28"/>
          <w:szCs w:val="28"/>
          <w:highlight w:val="none"/>
        </w:rPr>
        <w:t>十二、由合同引起的纠纷采用以下方式解决</w:t>
      </w:r>
    </w:p>
    <w:p w14:paraId="663B4B01">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甲乙双方产生争议的，应协商解决，双方协商不成，任何一方可向甲方所在地有管辖权的人民法院提起诉讼。在诉讼期间，本合同继续履行。</w:t>
      </w:r>
    </w:p>
    <w:p w14:paraId="3E167013">
      <w:pPr>
        <w:spacing w:line="600" w:lineRule="exact"/>
        <w:ind w:firstLine="560" w:firstLineChars="200"/>
        <w:rPr>
          <w:rFonts w:hint="eastAsia" w:ascii="仿宋" w:hAnsi="仿宋" w:eastAsia="仿宋" w:cs="仿宋"/>
          <w:bCs/>
          <w:sz w:val="28"/>
          <w:szCs w:val="28"/>
          <w:highlight w:val="none"/>
        </w:rPr>
      </w:pPr>
      <w:bookmarkStart w:id="5" w:name="_Toc427242834"/>
      <w:bookmarkEnd w:id="5"/>
      <w:bookmarkStart w:id="6" w:name="_Toc428867734"/>
      <w:bookmarkEnd w:id="6"/>
      <w:r>
        <w:rPr>
          <w:rFonts w:hint="eastAsia" w:ascii="仿宋" w:hAnsi="仿宋" w:eastAsia="仿宋" w:cs="仿宋"/>
          <w:bCs/>
          <w:sz w:val="28"/>
          <w:szCs w:val="28"/>
          <w:highlight w:val="none"/>
        </w:rPr>
        <w:t>十三、其他约定事项</w:t>
      </w:r>
    </w:p>
    <w:p w14:paraId="680613BE">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（一）任何一方就违约行为没有行使其权利的，不应视为放弃追究另一方违约责任的权利。</w:t>
      </w:r>
    </w:p>
    <w:p w14:paraId="2EA66C9B">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（二）如果本合同部分条款依据现行有关法律法规被确认为无效的，该部分的条款无效，并不影响其他条款的效力，本合同其他条款继续有效。</w:t>
      </w:r>
    </w:p>
    <w:p w14:paraId="08780F43">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（三）招标文件、投标文件和中标通知书是本合同不可分割的组成部分，本合同未尽事宜可按其相应规定执行；</w:t>
      </w:r>
    </w:p>
    <w:p w14:paraId="2A4D6E4F">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（四）本合同一式陆份，甲方叁份、乙方叁份；</w:t>
      </w:r>
    </w:p>
    <w:p w14:paraId="1DA43225">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（五）合同</w:t>
      </w:r>
      <w:r>
        <w:rPr>
          <w:rFonts w:hint="eastAsia" w:ascii="仿宋" w:hAnsi="仿宋" w:eastAsia="仿宋" w:cs="仿宋"/>
          <w:bCs/>
          <w:sz w:val="28"/>
          <w:szCs w:val="28"/>
          <w:highlight w:val="none"/>
          <w:lang w:eastAsia="zh-CN"/>
        </w:rPr>
        <w:t>由</w:t>
      </w:r>
      <w:r>
        <w:rPr>
          <w:rFonts w:hint="eastAsia" w:ascii="仿宋" w:hAnsi="仿宋" w:eastAsia="仿宋" w:cs="仿宋"/>
          <w:bCs/>
          <w:sz w:val="28"/>
          <w:szCs w:val="28"/>
          <w:highlight w:val="none"/>
        </w:rPr>
        <w:t>甲</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乙双方</w:t>
      </w:r>
      <w:r>
        <w:rPr>
          <w:rFonts w:hint="eastAsia" w:ascii="仿宋" w:hAnsi="仿宋" w:eastAsia="仿宋" w:cs="仿宋"/>
          <w:bCs/>
          <w:sz w:val="28"/>
          <w:szCs w:val="28"/>
          <w:highlight w:val="none"/>
          <w:lang w:eastAsia="zh-CN"/>
        </w:rPr>
        <w:t>法定代表人（或者授权代表）</w:t>
      </w:r>
      <w:r>
        <w:rPr>
          <w:rFonts w:hint="eastAsia" w:ascii="仿宋" w:hAnsi="仿宋" w:eastAsia="仿宋" w:cs="仿宋"/>
          <w:bCs/>
          <w:sz w:val="28"/>
          <w:szCs w:val="28"/>
          <w:highlight w:val="none"/>
        </w:rPr>
        <w:t>签字并</w:t>
      </w:r>
      <w:r>
        <w:rPr>
          <w:rFonts w:hint="eastAsia" w:ascii="仿宋" w:hAnsi="仿宋" w:eastAsia="仿宋" w:cs="仿宋"/>
          <w:bCs/>
          <w:sz w:val="28"/>
          <w:szCs w:val="28"/>
          <w:highlight w:val="none"/>
          <w:lang w:eastAsia="zh-CN"/>
        </w:rPr>
        <w:t>加</w:t>
      </w:r>
      <w:r>
        <w:rPr>
          <w:rFonts w:hint="eastAsia" w:ascii="仿宋" w:hAnsi="仿宋" w:eastAsia="仿宋" w:cs="仿宋"/>
          <w:bCs/>
          <w:sz w:val="28"/>
          <w:szCs w:val="28"/>
          <w:highlight w:val="none"/>
        </w:rPr>
        <w:t>盖</w:t>
      </w:r>
      <w:r>
        <w:rPr>
          <w:rFonts w:hint="eastAsia" w:ascii="仿宋" w:hAnsi="仿宋" w:eastAsia="仿宋" w:cs="仿宋"/>
          <w:bCs/>
          <w:sz w:val="28"/>
          <w:szCs w:val="28"/>
          <w:highlight w:val="none"/>
          <w:lang w:eastAsia="zh-CN"/>
        </w:rPr>
        <w:t>单位公</w:t>
      </w:r>
      <w:r>
        <w:rPr>
          <w:rFonts w:hint="eastAsia" w:ascii="仿宋" w:hAnsi="仿宋" w:eastAsia="仿宋" w:cs="仿宋"/>
          <w:bCs/>
          <w:sz w:val="28"/>
          <w:szCs w:val="28"/>
          <w:highlight w:val="none"/>
        </w:rPr>
        <w:t>章</w:t>
      </w:r>
      <w:r>
        <w:rPr>
          <w:rFonts w:hint="eastAsia" w:ascii="仿宋" w:hAnsi="仿宋" w:eastAsia="仿宋" w:cs="仿宋"/>
          <w:bCs/>
          <w:sz w:val="28"/>
          <w:szCs w:val="28"/>
          <w:highlight w:val="none"/>
          <w:lang w:eastAsia="zh-CN"/>
        </w:rPr>
        <w:t>，以最后一方签字盖章时间为合同生效日期</w:t>
      </w:r>
      <w:r>
        <w:rPr>
          <w:rFonts w:hint="eastAsia" w:ascii="仿宋" w:hAnsi="仿宋" w:eastAsia="仿宋" w:cs="仿宋"/>
          <w:bCs/>
          <w:sz w:val="28"/>
          <w:szCs w:val="28"/>
          <w:highlight w:val="none"/>
        </w:rPr>
        <w:t>。</w:t>
      </w:r>
    </w:p>
    <w:p w14:paraId="3B0B1D7A">
      <w:pPr>
        <w:spacing w:line="600" w:lineRule="exact"/>
        <w:ind w:firstLine="560" w:firstLineChars="200"/>
        <w:rPr>
          <w:rFonts w:hint="eastAsia" w:ascii="仿宋" w:hAnsi="仿宋" w:eastAsia="仿宋" w:cs="仿宋"/>
          <w:bCs/>
          <w:sz w:val="28"/>
          <w:szCs w:val="28"/>
          <w:highlight w:val="none"/>
          <w:lang w:eastAsia="zh-CN"/>
        </w:rPr>
      </w:pPr>
    </w:p>
    <w:p w14:paraId="10A5CD31">
      <w:pPr>
        <w:spacing w:line="6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lang w:eastAsia="zh-CN"/>
        </w:rPr>
        <w:t>附件：</w:t>
      </w:r>
      <w:r>
        <w:rPr>
          <w:rFonts w:hint="eastAsia" w:ascii="仿宋" w:hAnsi="仿宋" w:eastAsia="仿宋" w:cs="仿宋"/>
          <w:bCs/>
          <w:sz w:val="28"/>
          <w:szCs w:val="28"/>
          <w:highlight w:val="none"/>
          <w:lang w:val="en-US" w:eastAsia="zh-CN"/>
        </w:rPr>
        <w:t>1.</w:t>
      </w:r>
      <w:r>
        <w:rPr>
          <w:rFonts w:hint="eastAsia" w:ascii="仿宋" w:hAnsi="仿宋" w:eastAsia="仿宋" w:cs="仿宋"/>
          <w:bCs/>
          <w:sz w:val="28"/>
          <w:szCs w:val="28"/>
          <w:highlight w:val="none"/>
        </w:rPr>
        <w:t>货物接收和技术培训反馈单</w:t>
      </w:r>
    </w:p>
    <w:p w14:paraId="1BD2C926">
      <w:pPr>
        <w:spacing w:line="600" w:lineRule="exact"/>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 xml:space="preserve">      2.</w:t>
      </w:r>
      <w:r>
        <w:rPr>
          <w:rFonts w:hint="eastAsia" w:ascii="仿宋" w:hAnsi="仿宋" w:eastAsia="仿宋" w:cs="仿宋"/>
          <w:bCs/>
          <w:sz w:val="28"/>
          <w:szCs w:val="28"/>
          <w:highlight w:val="none"/>
        </w:rPr>
        <w:t>货物质量保障和售后服务承诺书</w:t>
      </w:r>
    </w:p>
    <w:p w14:paraId="44E75104">
      <w:pPr>
        <w:spacing w:line="600" w:lineRule="exact"/>
        <w:ind w:firstLine="560" w:firstLineChars="200"/>
        <w:rPr>
          <w:rFonts w:hint="eastAsia" w:ascii="仿宋" w:hAnsi="仿宋" w:eastAsia="仿宋" w:cs="仿宋"/>
          <w:bCs/>
          <w:sz w:val="28"/>
          <w:szCs w:val="28"/>
          <w:highlight w:val="none"/>
        </w:rPr>
      </w:pPr>
    </w:p>
    <w:p w14:paraId="5053C291">
      <w:pPr>
        <w:spacing w:line="7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甲    方：宁夏回族自治区消防救援总队（盖章）  </w:t>
      </w:r>
    </w:p>
    <w:p w14:paraId="77717EED">
      <w:pPr>
        <w:spacing w:line="7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代 表 人：         </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 xml:space="preserve">      联系电话：0951-5057636</w:t>
      </w:r>
    </w:p>
    <w:p w14:paraId="740EAC23">
      <w:pPr>
        <w:spacing w:line="7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户    名：宁夏回族自治区消防救援总队</w:t>
      </w:r>
    </w:p>
    <w:p w14:paraId="0338B63A">
      <w:pPr>
        <w:spacing w:line="7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开户银行：中国银行股份有限公司宁夏回族自治区分行</w:t>
      </w:r>
    </w:p>
    <w:p w14:paraId="1FB1EEBA">
      <w:pPr>
        <w:spacing w:line="7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账     号：1060 7203 0278</w:t>
      </w:r>
    </w:p>
    <w:p w14:paraId="7F6FD818">
      <w:pPr>
        <w:spacing w:line="7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合同签订日期：       年 </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 xml:space="preserve"> 月 </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 xml:space="preserve"> 日</w:t>
      </w:r>
    </w:p>
    <w:p w14:paraId="78E52B8F">
      <w:pPr>
        <w:spacing w:line="700" w:lineRule="exact"/>
        <w:ind w:firstLine="560" w:firstLineChars="200"/>
        <w:rPr>
          <w:rFonts w:hint="eastAsia" w:ascii="仿宋" w:hAnsi="仿宋" w:eastAsia="仿宋" w:cs="仿宋"/>
          <w:bCs/>
          <w:sz w:val="28"/>
          <w:szCs w:val="28"/>
          <w:highlight w:val="none"/>
        </w:rPr>
      </w:pPr>
    </w:p>
    <w:p w14:paraId="61122310">
      <w:pPr>
        <w:spacing w:line="7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乙    方：</w:t>
      </w:r>
    </w:p>
    <w:p w14:paraId="40C24AE0">
      <w:pPr>
        <w:spacing w:line="7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代 表 人：                   联系电话：</w:t>
      </w:r>
    </w:p>
    <w:p w14:paraId="4EA794F6">
      <w:pPr>
        <w:spacing w:line="7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户    名：</w:t>
      </w:r>
    </w:p>
    <w:p w14:paraId="23DCB096">
      <w:pPr>
        <w:spacing w:line="7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开户银行：</w:t>
      </w:r>
    </w:p>
    <w:p w14:paraId="5975AB74">
      <w:pPr>
        <w:spacing w:line="7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账    号：</w:t>
      </w:r>
    </w:p>
    <w:p w14:paraId="4B11798F">
      <w:pPr>
        <w:spacing w:line="7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合同签订日期：      年 </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 xml:space="preserve"> 月 </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 xml:space="preserve"> 日</w:t>
      </w:r>
    </w:p>
    <w:p w14:paraId="26AFB375">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br w:type="page"/>
      </w:r>
    </w:p>
    <w:p w14:paraId="3883279A">
      <w:pPr>
        <w:pStyle w:val="9"/>
        <w:pBdr>
          <w:bottom w:val="none" w:color="auto" w:sz="0" w:space="1"/>
        </w:pBdr>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附件1:</w:t>
      </w:r>
    </w:p>
    <w:p w14:paraId="4DDD5372">
      <w:pPr>
        <w:keepNext w:val="0"/>
        <w:keepLines w:val="0"/>
        <w:pageBreakBefore w:val="0"/>
        <w:widowControl/>
        <w:kinsoku w:val="0"/>
        <w:wordWrap/>
        <w:overflowPunct/>
        <w:topLinePunct w:val="0"/>
        <w:autoSpaceDE/>
        <w:autoSpaceDN/>
        <w:bidi w:val="0"/>
        <w:adjustRightInd w:val="0"/>
        <w:snapToGrid w:val="0"/>
        <w:spacing w:line="530" w:lineRule="exact"/>
        <w:jc w:val="center"/>
        <w:rPr>
          <w:rFonts w:hint="eastAsia" w:ascii="仿宋" w:hAnsi="仿宋" w:eastAsia="仿宋" w:cs="仿宋"/>
          <w:b w:val="0"/>
          <w:bCs w:val="0"/>
          <w:spacing w:val="3"/>
          <w:sz w:val="28"/>
          <w:szCs w:val="28"/>
          <w:highlight w:val="none"/>
        </w:rPr>
      </w:pPr>
      <w:r>
        <w:rPr>
          <w:rFonts w:hint="eastAsia" w:ascii="仿宋" w:hAnsi="仿宋" w:eastAsia="仿宋" w:cs="仿宋"/>
          <w:b w:val="0"/>
          <w:bCs w:val="0"/>
          <w:spacing w:val="3"/>
          <w:sz w:val="28"/>
          <w:szCs w:val="28"/>
          <w:highlight w:val="none"/>
        </w:rPr>
        <w:t>货物接收和技术培训反馈单</w:t>
      </w:r>
    </w:p>
    <w:p w14:paraId="586A9FEC">
      <w:pPr>
        <w:spacing w:line="82" w:lineRule="exact"/>
        <w:rPr>
          <w:rFonts w:hint="eastAsia" w:ascii="仿宋" w:hAnsi="仿宋" w:eastAsia="仿宋" w:cs="仿宋"/>
          <w:sz w:val="28"/>
          <w:szCs w:val="28"/>
          <w:highlight w:val="none"/>
        </w:rPr>
      </w:pPr>
    </w:p>
    <w:tbl>
      <w:tblPr>
        <w:tblStyle w:val="29"/>
        <w:tblW w:w="88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1"/>
        <w:gridCol w:w="2211"/>
        <w:gridCol w:w="2211"/>
        <w:gridCol w:w="2211"/>
      </w:tblGrid>
      <w:tr w14:paraId="73376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2211" w:type="dxa"/>
            <w:tcBorders>
              <w:top w:val="single" w:color="auto" w:sz="8" w:space="0"/>
              <w:left w:val="single" w:color="000000" w:sz="8" w:space="0"/>
              <w:bottom w:val="single" w:color="000000" w:sz="8" w:space="0"/>
              <w:right w:val="single" w:color="000000" w:sz="8" w:space="0"/>
            </w:tcBorders>
            <w:shd w:val="clear" w:color="auto" w:fill="FFFFFF"/>
            <w:noWrap w:val="0"/>
            <w:vAlign w:val="center"/>
          </w:tcPr>
          <w:p w14:paraId="3DF21BEA">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33" w:type="dxa"/>
            <w:gridSpan w:val="3"/>
            <w:tcBorders>
              <w:top w:val="single" w:color="000000" w:sz="8" w:space="0"/>
              <w:left w:val="single" w:color="000000" w:sz="8" w:space="0"/>
              <w:bottom w:val="single" w:color="auto" w:sz="8" w:space="0"/>
              <w:right w:val="single" w:color="000000" w:sz="8" w:space="0"/>
            </w:tcBorders>
            <w:shd w:val="clear" w:color="auto" w:fill="FFFFFF"/>
            <w:noWrap w:val="0"/>
            <w:vAlign w:val="center"/>
          </w:tcPr>
          <w:p w14:paraId="208398DB">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宁夏消防救援总队</w:t>
            </w:r>
            <w:r>
              <w:rPr>
                <w:rFonts w:hint="eastAsia" w:ascii="仿宋" w:hAnsi="仿宋" w:eastAsia="仿宋" w:cs="仿宋"/>
                <w:color w:val="000000"/>
                <w:sz w:val="28"/>
                <w:szCs w:val="28"/>
                <w:highlight w:val="none"/>
                <w:lang w:eastAsia="zh-CN"/>
              </w:rPr>
              <w:t>灭火救援</w:t>
            </w:r>
            <w:r>
              <w:rPr>
                <w:rFonts w:hint="eastAsia" w:ascii="仿宋" w:hAnsi="仿宋" w:eastAsia="仿宋" w:cs="仿宋"/>
                <w:color w:val="000000"/>
                <w:sz w:val="28"/>
                <w:szCs w:val="28"/>
                <w:highlight w:val="none"/>
              </w:rPr>
              <w:t>装备配备项目</w:t>
            </w:r>
          </w:p>
        </w:tc>
      </w:tr>
      <w:tr w14:paraId="75633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2211" w:type="dxa"/>
            <w:tcBorders>
              <w:top w:val="single" w:color="auto" w:sz="8" w:space="0"/>
              <w:left w:val="single" w:color="000000" w:sz="8" w:space="0"/>
              <w:bottom w:val="single" w:color="000000" w:sz="8" w:space="0"/>
              <w:right w:val="single" w:color="000000" w:sz="8" w:space="0"/>
            </w:tcBorders>
            <w:shd w:val="clear" w:color="auto" w:fill="FFFFFF"/>
            <w:noWrap w:val="0"/>
            <w:vAlign w:val="center"/>
          </w:tcPr>
          <w:p w14:paraId="58ECED67">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标</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lang w:eastAsia="zh-CN"/>
              </w:rPr>
              <w:t>包</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号</w:t>
            </w:r>
          </w:p>
        </w:tc>
        <w:tc>
          <w:tcPr>
            <w:tcW w:w="6633" w:type="dxa"/>
            <w:gridSpan w:val="3"/>
            <w:tcBorders>
              <w:top w:val="single" w:color="000000" w:sz="8" w:space="0"/>
              <w:left w:val="single" w:color="000000" w:sz="8" w:space="0"/>
              <w:bottom w:val="single" w:color="auto" w:sz="8" w:space="0"/>
              <w:right w:val="single" w:color="000000" w:sz="8" w:space="0"/>
            </w:tcBorders>
            <w:shd w:val="clear" w:color="auto" w:fill="FFFFFF"/>
            <w:noWrap w:val="0"/>
            <w:vAlign w:val="center"/>
          </w:tcPr>
          <w:p w14:paraId="7B6FF990">
            <w:pPr>
              <w:jc w:val="center"/>
              <w:rPr>
                <w:rFonts w:hint="eastAsia" w:ascii="仿宋" w:hAnsi="仿宋" w:eastAsia="仿宋" w:cs="仿宋"/>
                <w:color w:val="000000"/>
                <w:sz w:val="28"/>
                <w:szCs w:val="28"/>
                <w:highlight w:val="none"/>
              </w:rPr>
            </w:pPr>
            <w:r>
              <w:rPr>
                <w:rFonts w:hint="eastAsia" w:ascii="仿宋" w:hAnsi="仿宋" w:eastAsia="仿宋" w:cs="仿宋"/>
                <w:bCs/>
                <w:sz w:val="28"/>
                <w:szCs w:val="28"/>
                <w:highlight w:val="none"/>
              </w:rPr>
              <w:t>第</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en-US" w:eastAsia="zh-CN"/>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lang w:eastAsia="zh-CN"/>
              </w:rPr>
              <w:t>标</w:t>
            </w:r>
            <w:r>
              <w:rPr>
                <w:rFonts w:hint="eastAsia" w:ascii="仿宋" w:hAnsi="仿宋" w:eastAsia="仿宋" w:cs="仿宋"/>
                <w:bCs/>
                <w:sz w:val="28"/>
                <w:szCs w:val="28"/>
                <w:highlight w:val="none"/>
              </w:rPr>
              <w:t>包</w:t>
            </w:r>
          </w:p>
        </w:tc>
      </w:tr>
      <w:tr w14:paraId="075C5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18483B">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w:t>
            </w:r>
          </w:p>
        </w:tc>
        <w:tc>
          <w:tcPr>
            <w:tcW w:w="6633" w:type="dxa"/>
            <w:gridSpan w:val="3"/>
            <w:tcBorders>
              <w:top w:val="single" w:color="auto" w:sz="8" w:space="0"/>
              <w:left w:val="single" w:color="000000" w:sz="8" w:space="0"/>
              <w:bottom w:val="single" w:color="000000" w:sz="8" w:space="0"/>
              <w:right w:val="single" w:color="000000" w:sz="8" w:space="0"/>
            </w:tcBorders>
            <w:shd w:val="clear" w:color="auto" w:fill="FFFFFF"/>
            <w:noWrap w:val="0"/>
            <w:vAlign w:val="center"/>
          </w:tcPr>
          <w:p w14:paraId="2889153E">
            <w:pPr>
              <w:jc w:val="center"/>
              <w:rPr>
                <w:rFonts w:hint="eastAsia" w:ascii="仿宋" w:hAnsi="仿宋" w:eastAsia="仿宋" w:cs="仿宋"/>
                <w:color w:val="000000"/>
                <w:sz w:val="28"/>
                <w:szCs w:val="28"/>
                <w:highlight w:val="none"/>
              </w:rPr>
            </w:pPr>
          </w:p>
        </w:tc>
      </w:tr>
      <w:tr w14:paraId="2406C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99F113">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货物名称</w:t>
            </w: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598E8E">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计量单位</w:t>
            </w: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34E7C2">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A61C656">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14:paraId="4C96B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5BD8CA">
            <w:pPr>
              <w:jc w:val="center"/>
              <w:rPr>
                <w:rFonts w:hint="eastAsia" w:ascii="仿宋" w:hAnsi="仿宋" w:eastAsia="仿宋" w:cs="仿宋"/>
                <w:color w:val="000000"/>
                <w:sz w:val="28"/>
                <w:szCs w:val="28"/>
                <w:highlight w:val="none"/>
              </w:rPr>
            </w:pP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196698">
            <w:pPr>
              <w:jc w:val="center"/>
              <w:rPr>
                <w:rFonts w:hint="eastAsia" w:ascii="仿宋" w:hAnsi="仿宋" w:eastAsia="仿宋" w:cs="仿宋"/>
                <w:color w:val="000000"/>
                <w:sz w:val="28"/>
                <w:szCs w:val="28"/>
                <w:highlight w:val="none"/>
              </w:rPr>
            </w:pP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D60919">
            <w:pPr>
              <w:jc w:val="center"/>
              <w:rPr>
                <w:rFonts w:hint="eastAsia" w:ascii="仿宋" w:hAnsi="仿宋" w:eastAsia="仿宋" w:cs="仿宋"/>
                <w:color w:val="000000"/>
                <w:sz w:val="28"/>
                <w:szCs w:val="28"/>
                <w:highlight w:val="none"/>
              </w:rPr>
            </w:pP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5D42C9">
            <w:pPr>
              <w:jc w:val="center"/>
              <w:rPr>
                <w:rFonts w:hint="eastAsia" w:ascii="仿宋" w:hAnsi="仿宋" w:eastAsia="仿宋" w:cs="仿宋"/>
                <w:color w:val="000000"/>
                <w:sz w:val="28"/>
                <w:szCs w:val="28"/>
                <w:highlight w:val="none"/>
              </w:rPr>
            </w:pPr>
          </w:p>
        </w:tc>
      </w:tr>
      <w:tr w14:paraId="30E40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323EE6">
            <w:pPr>
              <w:jc w:val="center"/>
              <w:rPr>
                <w:rFonts w:hint="eastAsia" w:ascii="仿宋" w:hAnsi="仿宋" w:eastAsia="仿宋" w:cs="仿宋"/>
                <w:color w:val="000000"/>
                <w:sz w:val="28"/>
                <w:szCs w:val="28"/>
                <w:highlight w:val="none"/>
              </w:rPr>
            </w:pP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EAA956">
            <w:pPr>
              <w:jc w:val="center"/>
              <w:rPr>
                <w:rFonts w:hint="eastAsia" w:ascii="仿宋" w:hAnsi="仿宋" w:eastAsia="仿宋" w:cs="仿宋"/>
                <w:color w:val="000000"/>
                <w:sz w:val="28"/>
                <w:szCs w:val="28"/>
                <w:highlight w:val="none"/>
              </w:rPr>
            </w:pP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F69314">
            <w:pPr>
              <w:jc w:val="center"/>
              <w:rPr>
                <w:rFonts w:hint="eastAsia" w:ascii="仿宋" w:hAnsi="仿宋" w:eastAsia="仿宋" w:cs="仿宋"/>
                <w:color w:val="000000"/>
                <w:sz w:val="28"/>
                <w:szCs w:val="28"/>
                <w:highlight w:val="none"/>
              </w:rPr>
            </w:pP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AB9FEE">
            <w:pPr>
              <w:jc w:val="center"/>
              <w:rPr>
                <w:rFonts w:hint="eastAsia" w:ascii="仿宋" w:hAnsi="仿宋" w:eastAsia="仿宋" w:cs="仿宋"/>
                <w:color w:val="000000"/>
                <w:sz w:val="28"/>
                <w:szCs w:val="28"/>
                <w:highlight w:val="none"/>
              </w:rPr>
            </w:pPr>
          </w:p>
        </w:tc>
      </w:tr>
      <w:tr w14:paraId="5C6DB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9797C4">
            <w:pPr>
              <w:jc w:val="center"/>
              <w:rPr>
                <w:rFonts w:hint="eastAsia" w:ascii="仿宋" w:hAnsi="仿宋" w:eastAsia="仿宋" w:cs="仿宋"/>
                <w:color w:val="000000"/>
                <w:sz w:val="28"/>
                <w:szCs w:val="28"/>
                <w:highlight w:val="none"/>
              </w:rPr>
            </w:pP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40E40B">
            <w:pPr>
              <w:jc w:val="center"/>
              <w:rPr>
                <w:rFonts w:hint="eastAsia" w:ascii="仿宋" w:hAnsi="仿宋" w:eastAsia="仿宋" w:cs="仿宋"/>
                <w:color w:val="000000"/>
                <w:sz w:val="28"/>
                <w:szCs w:val="28"/>
                <w:highlight w:val="none"/>
              </w:rPr>
            </w:pP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885B09">
            <w:pPr>
              <w:jc w:val="center"/>
              <w:rPr>
                <w:rFonts w:hint="eastAsia" w:ascii="仿宋" w:hAnsi="仿宋" w:eastAsia="仿宋" w:cs="仿宋"/>
                <w:color w:val="000000"/>
                <w:sz w:val="28"/>
                <w:szCs w:val="28"/>
                <w:highlight w:val="none"/>
              </w:rPr>
            </w:pP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41D061">
            <w:pPr>
              <w:jc w:val="center"/>
              <w:rPr>
                <w:rFonts w:hint="eastAsia" w:ascii="仿宋" w:hAnsi="仿宋" w:eastAsia="仿宋" w:cs="仿宋"/>
                <w:color w:val="000000"/>
                <w:sz w:val="28"/>
                <w:szCs w:val="28"/>
                <w:highlight w:val="none"/>
              </w:rPr>
            </w:pPr>
          </w:p>
        </w:tc>
      </w:tr>
      <w:tr w14:paraId="79F55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9B6DB3">
            <w:pPr>
              <w:jc w:val="center"/>
              <w:rPr>
                <w:rFonts w:hint="eastAsia" w:ascii="仿宋" w:hAnsi="仿宋" w:eastAsia="仿宋" w:cs="仿宋"/>
                <w:color w:val="000000"/>
                <w:sz w:val="28"/>
                <w:szCs w:val="28"/>
                <w:highlight w:val="none"/>
              </w:rPr>
            </w:pP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D36618">
            <w:pPr>
              <w:jc w:val="center"/>
              <w:rPr>
                <w:rFonts w:hint="eastAsia" w:ascii="仿宋" w:hAnsi="仿宋" w:eastAsia="仿宋" w:cs="仿宋"/>
                <w:color w:val="000000"/>
                <w:sz w:val="28"/>
                <w:szCs w:val="28"/>
                <w:highlight w:val="none"/>
              </w:rPr>
            </w:pP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012045">
            <w:pPr>
              <w:jc w:val="center"/>
              <w:rPr>
                <w:rFonts w:hint="eastAsia" w:ascii="仿宋" w:hAnsi="仿宋" w:eastAsia="仿宋" w:cs="仿宋"/>
                <w:color w:val="000000"/>
                <w:sz w:val="28"/>
                <w:szCs w:val="28"/>
                <w:highlight w:val="none"/>
              </w:rPr>
            </w:pP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836938">
            <w:pPr>
              <w:jc w:val="center"/>
              <w:rPr>
                <w:rFonts w:hint="eastAsia" w:ascii="仿宋" w:hAnsi="仿宋" w:eastAsia="仿宋" w:cs="仿宋"/>
                <w:color w:val="000000"/>
                <w:sz w:val="28"/>
                <w:szCs w:val="28"/>
                <w:highlight w:val="none"/>
              </w:rPr>
            </w:pPr>
          </w:p>
        </w:tc>
      </w:tr>
      <w:tr w14:paraId="2EB6C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CE0D4C">
            <w:pPr>
              <w:jc w:val="center"/>
              <w:rPr>
                <w:rFonts w:hint="eastAsia" w:ascii="仿宋" w:hAnsi="仿宋" w:eastAsia="仿宋" w:cs="仿宋"/>
                <w:color w:val="000000"/>
                <w:sz w:val="28"/>
                <w:szCs w:val="28"/>
                <w:highlight w:val="none"/>
              </w:rPr>
            </w:pP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FBBF4B">
            <w:pPr>
              <w:jc w:val="center"/>
              <w:rPr>
                <w:rFonts w:hint="eastAsia" w:ascii="仿宋" w:hAnsi="仿宋" w:eastAsia="仿宋" w:cs="仿宋"/>
                <w:color w:val="000000"/>
                <w:sz w:val="28"/>
                <w:szCs w:val="28"/>
                <w:highlight w:val="none"/>
              </w:rPr>
            </w:pP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EE8E6C">
            <w:pPr>
              <w:jc w:val="center"/>
              <w:rPr>
                <w:rFonts w:hint="eastAsia" w:ascii="仿宋" w:hAnsi="仿宋" w:eastAsia="仿宋" w:cs="仿宋"/>
                <w:color w:val="000000"/>
                <w:sz w:val="28"/>
                <w:szCs w:val="28"/>
                <w:highlight w:val="none"/>
              </w:rPr>
            </w:pP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63FE34">
            <w:pPr>
              <w:jc w:val="center"/>
              <w:rPr>
                <w:rFonts w:hint="eastAsia" w:ascii="仿宋" w:hAnsi="仿宋" w:eastAsia="仿宋" w:cs="仿宋"/>
                <w:color w:val="000000"/>
                <w:sz w:val="28"/>
                <w:szCs w:val="28"/>
                <w:highlight w:val="none"/>
              </w:rPr>
            </w:pPr>
          </w:p>
        </w:tc>
      </w:tr>
      <w:tr w14:paraId="0EDE7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5A15B6">
            <w:pPr>
              <w:jc w:val="center"/>
              <w:rPr>
                <w:rFonts w:hint="eastAsia" w:ascii="仿宋" w:hAnsi="仿宋" w:eastAsia="仿宋" w:cs="仿宋"/>
                <w:color w:val="000000"/>
                <w:sz w:val="28"/>
                <w:szCs w:val="28"/>
                <w:highlight w:val="none"/>
              </w:rPr>
            </w:pP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C37E5A">
            <w:pPr>
              <w:jc w:val="center"/>
              <w:rPr>
                <w:rFonts w:hint="eastAsia" w:ascii="仿宋" w:hAnsi="仿宋" w:eastAsia="仿宋" w:cs="仿宋"/>
                <w:color w:val="000000"/>
                <w:sz w:val="28"/>
                <w:szCs w:val="28"/>
                <w:highlight w:val="none"/>
              </w:rPr>
            </w:pP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EEA0F2">
            <w:pPr>
              <w:jc w:val="center"/>
              <w:rPr>
                <w:rFonts w:hint="eastAsia" w:ascii="仿宋" w:hAnsi="仿宋" w:eastAsia="仿宋" w:cs="仿宋"/>
                <w:color w:val="000000"/>
                <w:sz w:val="28"/>
                <w:szCs w:val="28"/>
                <w:highlight w:val="none"/>
              </w:rPr>
            </w:pPr>
          </w:p>
        </w:tc>
        <w:tc>
          <w:tcPr>
            <w:tcW w:w="22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59C42D">
            <w:pPr>
              <w:jc w:val="center"/>
              <w:rPr>
                <w:rFonts w:hint="eastAsia" w:ascii="仿宋" w:hAnsi="仿宋" w:eastAsia="仿宋" w:cs="仿宋"/>
                <w:color w:val="000000"/>
                <w:sz w:val="28"/>
                <w:szCs w:val="28"/>
                <w:highlight w:val="none"/>
              </w:rPr>
            </w:pPr>
          </w:p>
        </w:tc>
      </w:tr>
      <w:tr w14:paraId="01996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1" w:hRule="atLeast"/>
          <w:jc w:val="center"/>
        </w:trPr>
        <w:tc>
          <w:tcPr>
            <w:tcW w:w="8844"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1461DDA7">
            <w:pPr>
              <w:spacing w:line="480" w:lineRule="exact"/>
              <w:ind w:firstLine="562" w:firstLineChars="200"/>
              <w:jc w:val="both"/>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rPr>
              <w:t>反馈情况：</w:t>
            </w:r>
          </w:p>
          <w:p w14:paraId="065D3DB2">
            <w:pPr>
              <w:numPr>
                <w:ilvl w:val="0"/>
                <w:numId w:val="0"/>
              </w:numPr>
              <w:spacing w:line="480" w:lineRule="exact"/>
              <w:ind w:firstLine="560" w:firstLineChars="20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1.货物是否已按配备计划列装到位：     是□       否□</w:t>
            </w:r>
          </w:p>
          <w:p w14:paraId="29D8C6BC">
            <w:pPr>
              <w:numPr>
                <w:ilvl w:val="0"/>
                <w:numId w:val="0"/>
              </w:numPr>
              <w:spacing w:line="480" w:lineRule="exact"/>
              <w:ind w:firstLine="560" w:firstLineChars="20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2.供应商是否按承诺开展技术培训：     是□       否□</w:t>
            </w:r>
          </w:p>
          <w:p w14:paraId="135AB8B4">
            <w:pPr>
              <w:numPr>
                <w:ilvl w:val="0"/>
                <w:numId w:val="0"/>
              </w:numPr>
              <w:spacing w:line="480" w:lineRule="exact"/>
              <w:ind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lang w:eastAsia="zh-CN"/>
              </w:rPr>
              <w:t>其他需要反馈情况：</w:t>
            </w:r>
            <w:r>
              <w:rPr>
                <w:rFonts w:hint="eastAsia" w:ascii="仿宋" w:hAnsi="仿宋" w:eastAsia="仿宋" w:cs="仿宋"/>
                <w:color w:val="000000"/>
                <w:sz w:val="28"/>
                <w:szCs w:val="28"/>
                <w:highlight w:val="none"/>
                <w:u w:val="single"/>
                <w:lang w:val="en-US" w:eastAsia="zh-CN"/>
              </w:rPr>
              <w:t xml:space="preserve">                                </w:t>
            </w:r>
          </w:p>
          <w:p w14:paraId="0B1C0EF6">
            <w:pPr>
              <w:keepNext w:val="0"/>
              <w:keepLines w:val="0"/>
              <w:pageBreakBefore w:val="0"/>
              <w:widowControl/>
              <w:kinsoku w:val="0"/>
              <w:wordWrap/>
              <w:overflowPunct/>
              <w:topLinePunct w:val="0"/>
              <w:autoSpaceDE w:val="0"/>
              <w:autoSpaceDN w:val="0"/>
              <w:bidi w:val="0"/>
              <w:adjustRightInd w:val="0"/>
              <w:snapToGrid w:val="0"/>
              <w:spacing w:line="480" w:lineRule="exact"/>
              <w:ind w:firstLine="3640" w:firstLineChars="13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需求单位(盖章)</w:t>
            </w:r>
          </w:p>
          <w:p w14:paraId="6A536803">
            <w:pPr>
              <w:keepNext w:val="0"/>
              <w:keepLines w:val="0"/>
              <w:pageBreakBefore w:val="0"/>
              <w:widowControl/>
              <w:kinsoku w:val="0"/>
              <w:wordWrap/>
              <w:overflowPunct/>
              <w:topLinePunct w:val="0"/>
              <w:autoSpaceDE w:val="0"/>
              <w:autoSpaceDN w:val="0"/>
              <w:bidi w:val="0"/>
              <w:adjustRightInd w:val="0"/>
              <w:snapToGrid w:val="0"/>
              <w:spacing w:line="480" w:lineRule="exact"/>
              <w:ind w:firstLine="3640" w:firstLineChars="13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需求单位负责人(签字)</w:t>
            </w:r>
          </w:p>
          <w:p w14:paraId="7D6B19EC">
            <w:pPr>
              <w:keepNext w:val="0"/>
              <w:keepLines w:val="0"/>
              <w:pageBreakBefore w:val="0"/>
              <w:widowControl/>
              <w:kinsoku w:val="0"/>
              <w:wordWrap/>
              <w:overflowPunct/>
              <w:topLinePunct w:val="0"/>
              <w:autoSpaceDE w:val="0"/>
              <w:autoSpaceDN w:val="0"/>
              <w:bidi w:val="0"/>
              <w:adjustRightInd w:val="0"/>
              <w:snapToGrid w:val="0"/>
              <w:spacing w:line="480" w:lineRule="exact"/>
              <w:ind w:firstLine="6160" w:firstLineChars="2200"/>
              <w:jc w:val="both"/>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年</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lang w:eastAsia="zh-CN"/>
              </w:rPr>
              <w:t>月</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lang w:eastAsia="zh-CN"/>
              </w:rPr>
              <w:t>日</w:t>
            </w:r>
          </w:p>
        </w:tc>
      </w:tr>
      <w:tr w14:paraId="5CF1B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5" w:hRule="atLeast"/>
          <w:jc w:val="center"/>
        </w:trPr>
        <w:tc>
          <w:tcPr>
            <w:tcW w:w="8844"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0AC712AE">
            <w:pPr>
              <w:spacing w:line="480" w:lineRule="exact"/>
              <w:ind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w:t>
            </w:r>
          </w:p>
          <w:p w14:paraId="6C3A4B20">
            <w:pPr>
              <w:spacing w:line="480" w:lineRule="exact"/>
              <w:jc w:val="both"/>
              <w:rPr>
                <w:rFonts w:hint="eastAsia" w:ascii="仿宋" w:hAnsi="仿宋" w:eastAsia="仿宋" w:cs="仿宋"/>
                <w:color w:val="000000"/>
                <w:sz w:val="28"/>
                <w:szCs w:val="28"/>
                <w:highlight w:val="none"/>
              </w:rPr>
            </w:pPr>
          </w:p>
          <w:p w14:paraId="7348C903">
            <w:pPr>
              <w:spacing w:line="480" w:lineRule="exact"/>
              <w:ind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供应商代表签字</w:t>
            </w:r>
          </w:p>
          <w:p w14:paraId="7C9338F1">
            <w:pPr>
              <w:spacing w:line="480" w:lineRule="exact"/>
              <w:ind w:firstLine="6160" w:firstLineChars="2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年</w:t>
            </w:r>
            <w:r>
              <w:rPr>
                <w:rFonts w:hint="eastAsia" w:ascii="仿宋" w:hAnsi="仿宋" w:eastAsia="仿宋" w:cs="仿宋"/>
                <w:color w:val="000000"/>
                <w:sz w:val="28"/>
                <w:szCs w:val="28"/>
                <w:highlight w:val="none"/>
                <w:lang w:val="en-US" w:eastAsia="zh-CN"/>
              </w:rPr>
              <w:t xml:space="preserve">    月    </w:t>
            </w:r>
            <w:r>
              <w:rPr>
                <w:rFonts w:hint="eastAsia" w:ascii="仿宋" w:hAnsi="仿宋" w:eastAsia="仿宋" w:cs="仿宋"/>
                <w:color w:val="000000"/>
                <w:sz w:val="28"/>
                <w:szCs w:val="28"/>
                <w:highlight w:val="none"/>
              </w:rPr>
              <w:t>日</w:t>
            </w:r>
          </w:p>
        </w:tc>
      </w:tr>
    </w:tbl>
    <w:p w14:paraId="6E3A4CEB">
      <w:pPr>
        <w:spacing w:line="240" w:lineRule="atLeast"/>
        <w:ind w:firstLine="0" w:firstLineChars="0"/>
        <w:rPr>
          <w:rFonts w:hint="eastAsia" w:ascii="仿宋" w:hAnsi="仿宋" w:eastAsia="仿宋" w:cs="仿宋"/>
          <w:bCs/>
          <w:sz w:val="28"/>
          <w:szCs w:val="28"/>
          <w:highlight w:val="none"/>
          <w:lang w:val="en-US" w:eastAsia="zh-CN"/>
        </w:rPr>
      </w:pPr>
    </w:p>
    <w:p w14:paraId="539FC682">
      <w:pPr>
        <w:spacing w:line="240" w:lineRule="atLeast"/>
        <w:ind w:firstLine="0" w:firstLineChars="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附件2:</w:t>
      </w:r>
    </w:p>
    <w:p w14:paraId="5C67E456">
      <w:pPr>
        <w:spacing w:line="240" w:lineRule="atLeast"/>
        <w:ind w:firstLine="0" w:firstLineChars="0"/>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货物质量保障和售后服务承诺书</w:t>
      </w:r>
    </w:p>
    <w:p w14:paraId="15882A8D">
      <w:pPr>
        <w:spacing w:line="240" w:lineRule="atLeast"/>
        <w:ind w:firstLine="0" w:firstLineChars="0"/>
        <w:jc w:val="center"/>
        <w:rPr>
          <w:rFonts w:hint="eastAsia" w:ascii="仿宋" w:hAnsi="仿宋" w:eastAsia="仿宋" w:cs="仿宋"/>
          <w:bCs/>
          <w:sz w:val="28"/>
          <w:szCs w:val="28"/>
          <w:highlight w:val="none"/>
        </w:rPr>
      </w:pPr>
    </w:p>
    <w:p w14:paraId="3A0DD02D">
      <w:pPr>
        <w:spacing w:line="240" w:lineRule="atLeast"/>
        <w:ind w:firstLine="0" w:firstLineChars="0"/>
        <w:jc w:val="center"/>
        <w:rPr>
          <w:rFonts w:hint="eastAsia" w:ascii="仿宋" w:hAnsi="仿宋" w:eastAsia="仿宋" w:cs="仿宋"/>
          <w:bCs/>
          <w:sz w:val="28"/>
          <w:szCs w:val="28"/>
          <w:highlight w:val="none"/>
        </w:rPr>
      </w:pPr>
    </w:p>
    <w:p w14:paraId="1C392D15">
      <w:pPr>
        <w:spacing w:line="240" w:lineRule="atLeast"/>
        <w:ind w:firstLine="0" w:firstLineChars="0"/>
        <w:jc w:val="both"/>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（由乙方根据投标文件填报内容）</w:t>
      </w:r>
    </w:p>
    <w:p w14:paraId="23838371">
      <w:pPr>
        <w:widowControl/>
        <w:jc w:val="left"/>
        <w:rPr>
          <w:rFonts w:ascii="仿宋" w:hAnsi="仿宋" w:eastAsia="仿宋" w:cs="仿宋"/>
          <w:b/>
          <w:bCs/>
          <w:sz w:val="28"/>
          <w:szCs w:val="28"/>
        </w:rPr>
      </w:pPr>
      <w:r>
        <w:rPr>
          <w:rFonts w:ascii="仿宋" w:hAnsi="仿宋" w:eastAsia="仿宋" w:cs="仿宋"/>
          <w:b/>
          <w:bCs/>
          <w:sz w:val="28"/>
          <w:szCs w:val="28"/>
        </w:rPr>
        <w:br w:type="page"/>
      </w:r>
    </w:p>
    <w:p w14:paraId="32B0999E">
      <w:pPr>
        <w:widowControl/>
        <w:jc w:val="left"/>
        <w:rPr>
          <w:rFonts w:ascii="仿宋" w:hAnsi="仿宋" w:eastAsia="仿宋" w:cs="仿宋"/>
          <w:b/>
          <w:bCs/>
          <w:sz w:val="28"/>
          <w:szCs w:val="28"/>
        </w:rPr>
      </w:pPr>
      <w:r>
        <w:rPr>
          <w:rFonts w:hint="eastAsia" w:ascii="仿宋" w:hAnsi="仿宋" w:eastAsia="仿宋" w:cs="仿宋"/>
          <w:b/>
          <w:bCs/>
          <w:sz w:val="28"/>
          <w:szCs w:val="28"/>
        </w:rPr>
        <w:t>三、采购文件部分条款</w:t>
      </w:r>
    </w:p>
    <w:tbl>
      <w:tblPr>
        <w:tblStyle w:val="11"/>
        <w:tblW w:w="53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696"/>
        <w:gridCol w:w="7972"/>
      </w:tblGrid>
      <w:tr w14:paraId="2A43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50" w:type="pct"/>
            <w:tcBorders>
              <w:top w:val="single" w:color="auto" w:sz="4" w:space="0"/>
              <w:left w:val="single" w:color="auto" w:sz="4" w:space="0"/>
              <w:bottom w:val="single" w:color="auto" w:sz="4" w:space="0"/>
              <w:right w:val="single" w:color="auto" w:sz="4" w:space="0"/>
            </w:tcBorders>
          </w:tcPr>
          <w:p w14:paraId="0664A5DA">
            <w:pPr>
              <w:autoSpaceDE w:val="0"/>
              <w:jc w:val="center"/>
              <w:rPr>
                <w:rFonts w:ascii="仿宋" w:hAnsi="仿宋" w:eastAsia="仿宋" w:cs="仿宋"/>
                <w:b/>
                <w:bCs/>
                <w:sz w:val="24"/>
              </w:rPr>
            </w:pPr>
            <w:r>
              <w:rPr>
                <w:rFonts w:hint="eastAsia" w:ascii="仿宋" w:hAnsi="仿宋" w:eastAsia="仿宋" w:cs="仿宋"/>
                <w:b/>
                <w:bCs/>
                <w:sz w:val="24"/>
              </w:rPr>
              <w:t>序号</w:t>
            </w:r>
          </w:p>
        </w:tc>
        <w:tc>
          <w:tcPr>
            <w:tcW w:w="250" w:type="pct"/>
            <w:tcBorders>
              <w:top w:val="single" w:color="auto" w:sz="4" w:space="0"/>
              <w:left w:val="single" w:color="auto" w:sz="4" w:space="0"/>
              <w:bottom w:val="single" w:color="auto" w:sz="4" w:space="0"/>
              <w:right w:val="single" w:color="auto" w:sz="4" w:space="0"/>
            </w:tcBorders>
          </w:tcPr>
          <w:p w14:paraId="1930BA3E">
            <w:pPr>
              <w:autoSpaceDE w:val="0"/>
              <w:jc w:val="center"/>
              <w:rPr>
                <w:rFonts w:ascii="仿宋" w:hAnsi="仿宋" w:eastAsia="仿宋" w:cs="仿宋"/>
                <w:b/>
                <w:bCs/>
                <w:sz w:val="24"/>
              </w:rPr>
            </w:pPr>
            <w:r>
              <w:rPr>
                <w:rFonts w:hint="eastAsia" w:ascii="仿宋" w:hAnsi="仿宋" w:eastAsia="仿宋" w:cs="仿宋"/>
                <w:b/>
                <w:bCs/>
                <w:sz w:val="24"/>
              </w:rPr>
              <w:t>内容</w:t>
            </w:r>
          </w:p>
        </w:tc>
        <w:tc>
          <w:tcPr>
            <w:tcW w:w="4499" w:type="pct"/>
            <w:tcBorders>
              <w:top w:val="single" w:color="auto" w:sz="4" w:space="0"/>
              <w:left w:val="single" w:color="auto" w:sz="4" w:space="0"/>
              <w:bottom w:val="single" w:color="auto" w:sz="4" w:space="0"/>
              <w:right w:val="single" w:color="auto" w:sz="4" w:space="0"/>
            </w:tcBorders>
          </w:tcPr>
          <w:p w14:paraId="11C3B54D">
            <w:pPr>
              <w:autoSpaceDE w:val="0"/>
              <w:jc w:val="center"/>
              <w:rPr>
                <w:rFonts w:ascii="仿宋" w:hAnsi="仿宋" w:eastAsia="仿宋" w:cs="仿宋"/>
                <w:b/>
                <w:bCs/>
                <w:sz w:val="24"/>
              </w:rPr>
            </w:pPr>
            <w:r>
              <w:rPr>
                <w:rFonts w:hint="eastAsia" w:ascii="仿宋" w:hAnsi="仿宋" w:eastAsia="仿宋" w:cs="仿宋"/>
                <w:b/>
                <w:bCs/>
                <w:sz w:val="24"/>
              </w:rPr>
              <w:t>内容</w:t>
            </w:r>
          </w:p>
        </w:tc>
      </w:tr>
      <w:tr w14:paraId="477E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50" w:type="pct"/>
            <w:tcBorders>
              <w:top w:val="single" w:color="auto" w:sz="4" w:space="0"/>
              <w:left w:val="single" w:color="auto" w:sz="4" w:space="0"/>
              <w:bottom w:val="single" w:color="auto" w:sz="4" w:space="0"/>
              <w:right w:val="single" w:color="auto" w:sz="4" w:space="0"/>
            </w:tcBorders>
            <w:vAlign w:val="center"/>
          </w:tcPr>
          <w:p w14:paraId="21E8E218">
            <w:pPr>
              <w:autoSpaceDE w:val="0"/>
              <w:jc w:val="center"/>
              <w:rPr>
                <w:rFonts w:ascii="仿宋" w:hAnsi="仿宋" w:eastAsia="仿宋" w:cs="仿宋"/>
                <w:sz w:val="24"/>
              </w:rPr>
            </w:pPr>
            <w:r>
              <w:rPr>
                <w:rFonts w:hint="eastAsia" w:ascii="仿宋" w:hAnsi="仿宋" w:eastAsia="仿宋" w:cs="仿宋"/>
                <w:sz w:val="24"/>
              </w:rPr>
              <w:t>1</w:t>
            </w:r>
          </w:p>
        </w:tc>
        <w:tc>
          <w:tcPr>
            <w:tcW w:w="250" w:type="pct"/>
            <w:tcBorders>
              <w:top w:val="single" w:color="auto" w:sz="4" w:space="0"/>
              <w:left w:val="single" w:color="auto" w:sz="4" w:space="0"/>
              <w:bottom w:val="single" w:color="auto" w:sz="4" w:space="0"/>
              <w:right w:val="single" w:color="auto" w:sz="4" w:space="0"/>
            </w:tcBorders>
            <w:vAlign w:val="center"/>
          </w:tcPr>
          <w:p w14:paraId="74042AD0">
            <w:pPr>
              <w:autoSpaceDE w:val="0"/>
              <w:jc w:val="center"/>
              <w:rPr>
                <w:rFonts w:ascii="仿宋" w:hAnsi="仿宋" w:eastAsia="仿宋" w:cs="仿宋"/>
                <w:sz w:val="24"/>
              </w:rPr>
            </w:pPr>
            <w:r>
              <w:rPr>
                <w:rFonts w:hint="eastAsia" w:ascii="仿宋" w:hAnsi="仿宋" w:eastAsia="仿宋" w:cs="仿宋"/>
                <w:sz w:val="24"/>
              </w:rPr>
              <w:t>技术响应</w:t>
            </w:r>
          </w:p>
        </w:tc>
        <w:tc>
          <w:tcPr>
            <w:tcW w:w="4499" w:type="pct"/>
            <w:tcBorders>
              <w:top w:val="single" w:color="auto" w:sz="4" w:space="0"/>
              <w:left w:val="single" w:color="auto" w:sz="4" w:space="0"/>
              <w:bottom w:val="single" w:color="auto" w:sz="4" w:space="0"/>
              <w:right w:val="single" w:color="auto" w:sz="4" w:space="0"/>
            </w:tcBorders>
          </w:tcPr>
          <w:p w14:paraId="55241909">
            <w:pPr>
              <w:autoSpaceDE w:val="0"/>
              <w:rPr>
                <w:rFonts w:hint="eastAsia" w:ascii="仿宋" w:hAnsi="仿宋" w:eastAsia="仿宋" w:cs="仿宋"/>
                <w:sz w:val="24"/>
              </w:rPr>
            </w:pPr>
            <w:r>
              <w:rPr>
                <w:rFonts w:hint="eastAsia" w:ascii="仿宋" w:hAnsi="仿宋" w:eastAsia="仿宋" w:cs="仿宋"/>
                <w:sz w:val="24"/>
              </w:rPr>
              <w:t>投标人对所投产品技术参数逐条进行明确响应，并提供证明材料。技术指标响应全部满足或优于招标文件技术参数及功能要求得40分。</w:t>
            </w:r>
          </w:p>
          <w:p w14:paraId="6BBFF53A">
            <w:pPr>
              <w:autoSpaceDE w:val="0"/>
              <w:rPr>
                <w:rFonts w:hint="eastAsia" w:ascii="仿宋" w:hAnsi="仿宋" w:eastAsia="仿宋" w:cs="仿宋"/>
                <w:sz w:val="24"/>
              </w:rPr>
            </w:pPr>
            <w:r>
              <w:rPr>
                <w:rFonts w:hint="eastAsia" w:ascii="仿宋" w:hAnsi="仿宋" w:eastAsia="仿宋" w:cs="仿宋"/>
                <w:sz w:val="24"/>
              </w:rPr>
              <w:t>1、带“★”条款为实质性技术指标、参数要求，未提供或不能实质性满足的视为无效标书。</w:t>
            </w:r>
          </w:p>
          <w:p w14:paraId="0CE83393">
            <w:pPr>
              <w:autoSpaceDE w:val="0"/>
              <w:rPr>
                <w:rFonts w:hint="eastAsia" w:ascii="仿宋" w:hAnsi="仿宋" w:eastAsia="仿宋" w:cs="仿宋"/>
                <w:sz w:val="24"/>
              </w:rPr>
            </w:pPr>
            <w:r>
              <w:rPr>
                <w:rFonts w:hint="eastAsia" w:ascii="仿宋" w:hAnsi="仿宋" w:eastAsia="仿宋" w:cs="仿宋"/>
                <w:sz w:val="24"/>
              </w:rPr>
              <w:t>2、未带“★”条款的技术指标参数，每有1项负偏离按上述对应分值进行扣分。</w:t>
            </w:r>
          </w:p>
          <w:p w14:paraId="0A811BC3">
            <w:pPr>
              <w:autoSpaceDE w:val="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highlight w:val="cyan"/>
              </w:rPr>
              <w:t>非“★”技术要求负偏离≤</w:t>
            </w:r>
            <w:r>
              <w:rPr>
                <w:rFonts w:hint="eastAsia" w:ascii="仿宋" w:hAnsi="仿宋" w:eastAsia="仿宋" w:cs="仿宋"/>
                <w:sz w:val="24"/>
                <w:highlight w:val="cyan"/>
                <w:lang w:val="en-US" w:eastAsia="zh-CN"/>
              </w:rPr>
              <w:t>X</w:t>
            </w:r>
            <w:r>
              <w:rPr>
                <w:rFonts w:hint="eastAsia" w:ascii="仿宋" w:hAnsi="仿宋" w:eastAsia="仿宋" w:cs="仿宋"/>
                <w:sz w:val="24"/>
                <w:highlight w:val="cyan"/>
              </w:rPr>
              <w:t>条的，每出现1条按上表扣分，非“★”技术要求负偏离＞</w:t>
            </w:r>
            <w:r>
              <w:rPr>
                <w:rFonts w:hint="eastAsia" w:ascii="仿宋" w:hAnsi="仿宋" w:eastAsia="仿宋" w:cs="仿宋"/>
                <w:sz w:val="24"/>
                <w:highlight w:val="cyan"/>
                <w:lang w:val="en-US" w:eastAsia="zh-CN"/>
              </w:rPr>
              <w:t>X</w:t>
            </w:r>
            <w:r>
              <w:rPr>
                <w:rFonts w:hint="eastAsia" w:ascii="仿宋" w:hAnsi="仿宋" w:eastAsia="仿宋" w:cs="仿宋"/>
                <w:sz w:val="24"/>
                <w:highlight w:val="cyan"/>
              </w:rPr>
              <w:t>条的</w:t>
            </w:r>
            <w:r>
              <w:rPr>
                <w:rFonts w:hint="eastAsia" w:ascii="仿宋" w:hAnsi="仿宋" w:eastAsia="仿宋" w:cs="仿宋"/>
                <w:sz w:val="24"/>
              </w:rPr>
              <w:t>，本项得0分。</w:t>
            </w:r>
          </w:p>
          <w:p w14:paraId="4709FAAA">
            <w:pPr>
              <w:autoSpaceDE w:val="0"/>
              <w:rPr>
                <w:rFonts w:hint="eastAsia" w:ascii="仿宋" w:hAnsi="仿宋" w:eastAsia="仿宋" w:cs="仿宋"/>
                <w:sz w:val="24"/>
              </w:rPr>
            </w:pPr>
            <w:r>
              <w:rPr>
                <w:rFonts w:hint="eastAsia" w:ascii="仿宋" w:hAnsi="仿宋" w:eastAsia="仿宋" w:cs="仿宋"/>
                <w:sz w:val="24"/>
              </w:rPr>
              <w:t>注：</w:t>
            </w:r>
          </w:p>
          <w:p w14:paraId="27B5D93B">
            <w:pPr>
              <w:autoSpaceDE w:val="0"/>
              <w:rPr>
                <w:rFonts w:hint="eastAsia" w:ascii="仿宋" w:hAnsi="仿宋" w:eastAsia="仿宋" w:cs="仿宋"/>
                <w:sz w:val="24"/>
              </w:rPr>
            </w:pPr>
            <w:r>
              <w:rPr>
                <w:rFonts w:hint="eastAsia" w:ascii="仿宋" w:hAnsi="仿宋" w:eastAsia="仿宋" w:cs="仿宋"/>
                <w:sz w:val="24"/>
              </w:rPr>
              <w:t>一、投标人须逐项根据采购文件参数列出对应所投产品参数，注明响应与正负偏离并提供证明材料。</w:t>
            </w:r>
          </w:p>
          <w:p w14:paraId="4E1499FF">
            <w:pPr>
              <w:autoSpaceDE w:val="0"/>
              <w:rPr>
                <w:rFonts w:hint="eastAsia" w:ascii="仿宋" w:hAnsi="仿宋" w:eastAsia="仿宋" w:cs="仿宋"/>
                <w:sz w:val="24"/>
              </w:rPr>
            </w:pPr>
            <w:r>
              <w:rPr>
                <w:rFonts w:hint="eastAsia" w:ascii="仿宋" w:hAnsi="仿宋" w:eastAsia="仿宋" w:cs="仿宋"/>
                <w:sz w:val="24"/>
              </w:rPr>
              <w:t>证明材料：</w:t>
            </w:r>
          </w:p>
          <w:p w14:paraId="0E6A2057">
            <w:pPr>
              <w:autoSpaceDE w:val="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highlight w:val="cyan"/>
              </w:rPr>
              <w:t>1）技术参数中▲条款要求必须提供“检测报告”，评审委员会将以检测报告中的数据作为评审依据，检测报告应提供检测机构与货物送检单位签订的检验合同及发票和网上查询截图及网页地址（查询渠道应包含网址、查询流程）等佐证资料，如未提供检测报告及上述佐证资料的，▲条款不予得分。</w:t>
            </w:r>
          </w:p>
          <w:p w14:paraId="01A72880">
            <w:pPr>
              <w:autoSpaceDE w:val="0"/>
              <w:rPr>
                <w:rFonts w:hint="eastAsia" w:ascii="仿宋" w:hAnsi="仿宋" w:eastAsia="仿宋" w:cs="仿宋"/>
                <w:sz w:val="24"/>
              </w:rPr>
            </w:pPr>
            <w:r>
              <w:rPr>
                <w:rFonts w:hint="eastAsia" w:ascii="仿宋" w:hAnsi="仿宋" w:eastAsia="仿宋" w:cs="仿宋"/>
                <w:sz w:val="24"/>
              </w:rPr>
              <w:t>（2）其它参数须提供官网功能截图或出厂合格证等资料予以佐证，未提供佐证材料，该项不予得分。</w:t>
            </w:r>
          </w:p>
          <w:p w14:paraId="26D0B7BE">
            <w:pPr>
              <w:autoSpaceDE w:val="0"/>
              <w:rPr>
                <w:rFonts w:hint="eastAsia" w:ascii="仿宋" w:hAnsi="仿宋" w:eastAsia="仿宋" w:cs="仿宋"/>
                <w:sz w:val="24"/>
              </w:rPr>
            </w:pPr>
            <w:r>
              <w:rPr>
                <w:rFonts w:hint="eastAsia" w:ascii="仿宋" w:hAnsi="仿宋" w:eastAsia="仿宋" w:cs="仿宋"/>
                <w:sz w:val="24"/>
              </w:rPr>
              <w:t xml:space="preserve">二、“1项”指技术参数序号，每负偏离一项按要求扣除相应分数，如同一指标序号中多个指标出现负偏离，按1项计算，如有序号含有子序号的，则以子序号进行计算； </w:t>
            </w:r>
          </w:p>
        </w:tc>
      </w:tr>
      <w:tr w14:paraId="58E5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50" w:type="pct"/>
            <w:tcBorders>
              <w:top w:val="single" w:color="auto" w:sz="4" w:space="0"/>
              <w:left w:val="single" w:color="auto" w:sz="4" w:space="0"/>
              <w:bottom w:val="single" w:color="auto" w:sz="4" w:space="0"/>
              <w:right w:val="single" w:color="auto" w:sz="4" w:space="0"/>
            </w:tcBorders>
            <w:vAlign w:val="center"/>
          </w:tcPr>
          <w:p w14:paraId="3E60EB14">
            <w:pPr>
              <w:autoSpaceDE w:val="0"/>
              <w:jc w:val="center"/>
              <w:rPr>
                <w:rFonts w:ascii="仿宋" w:hAnsi="仿宋" w:eastAsia="仿宋" w:cs="仿宋"/>
                <w:sz w:val="24"/>
              </w:rPr>
            </w:pPr>
            <w:r>
              <w:rPr>
                <w:rFonts w:hint="eastAsia" w:ascii="仿宋" w:hAnsi="仿宋" w:eastAsia="仿宋" w:cs="仿宋"/>
                <w:sz w:val="24"/>
              </w:rPr>
              <w:t>2</w:t>
            </w:r>
          </w:p>
        </w:tc>
        <w:tc>
          <w:tcPr>
            <w:tcW w:w="250" w:type="pct"/>
            <w:tcBorders>
              <w:top w:val="single" w:color="auto" w:sz="4" w:space="0"/>
              <w:left w:val="single" w:color="auto" w:sz="4" w:space="0"/>
              <w:bottom w:val="single" w:color="auto" w:sz="4" w:space="0"/>
              <w:right w:val="single" w:color="auto" w:sz="4" w:space="0"/>
            </w:tcBorders>
            <w:vAlign w:val="center"/>
          </w:tcPr>
          <w:p w14:paraId="3E3DE270">
            <w:pPr>
              <w:autoSpaceDE w:val="0"/>
              <w:jc w:val="center"/>
              <w:rPr>
                <w:rFonts w:ascii="仿宋" w:hAnsi="仿宋" w:eastAsia="仿宋" w:cs="仿宋"/>
                <w:sz w:val="24"/>
              </w:rPr>
            </w:pPr>
            <w:r>
              <w:rPr>
                <w:rFonts w:hint="eastAsia" w:ascii="仿宋" w:hAnsi="仿宋" w:eastAsia="仿宋" w:cs="仿宋"/>
                <w:sz w:val="24"/>
              </w:rPr>
              <w:t>样品</w:t>
            </w:r>
          </w:p>
        </w:tc>
        <w:tc>
          <w:tcPr>
            <w:tcW w:w="4499" w:type="pct"/>
            <w:tcBorders>
              <w:top w:val="single" w:color="auto" w:sz="4" w:space="0"/>
              <w:left w:val="single" w:color="auto" w:sz="4" w:space="0"/>
              <w:bottom w:val="single" w:color="auto" w:sz="4" w:space="0"/>
              <w:right w:val="single" w:color="auto" w:sz="4" w:space="0"/>
            </w:tcBorders>
          </w:tcPr>
          <w:p w14:paraId="65A70AAC">
            <w:pPr>
              <w:rPr>
                <w:rFonts w:hint="default"/>
                <w:color w:val="FF0000"/>
                <w:lang w:val="en-US"/>
              </w:rPr>
            </w:pPr>
            <w:r>
              <w:rPr>
                <w:rFonts w:hint="eastAsia" w:ascii="仿宋" w:hAnsi="仿宋" w:eastAsia="仿宋" w:cs="仿宋"/>
                <w:color w:val="FF0000"/>
                <w:sz w:val="24"/>
                <w:lang w:val="en-US" w:eastAsia="zh-CN"/>
              </w:rPr>
              <w:t>1.样品递交方式：于投标截止前递交至开标地点宁夏回族自治区公共资源交易中心；（宁夏回族自治区银川市金凤区北京中路瑞银财富中心5楼开标室）2.样品递交要求：投标人须按所投标包的要求，将所投标包的所有产品样品全部密封封装在包装箱内。投标样品的外层包装箱/纸上须标注如下信息:投标人名称、项目名称、项目包号、样品品种名称、样品数量、型号等信息。3.样品评审标准：本次装备类项目中要求部分产品提供实物样品，并依据样品的整体结构、产品外观、产品质量、材料、实用性、功能性等方面进行打分。注：（1）样品未提供、样品缺失、样品与投标文件中所投产品描述不一致不得分。（2）样品递交过程中产生的所有费用由投标人自行承担。（3）中标单位的样品将作为履约验收依据，不予退回。（4）未中标单位样品将在采购活动结束后由代理机构保存，请投标单位在采购活动结束后7个工作日内联系代理机构进行退还，费用由投标单位自行承担；如投标人未及时领取，样品将由采购代理机构自行处理，且不承担因此而产生的责任。</w:t>
            </w:r>
          </w:p>
        </w:tc>
      </w:tr>
      <w:tr w14:paraId="409D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50" w:type="pct"/>
            <w:tcBorders>
              <w:top w:val="single" w:color="auto" w:sz="4" w:space="0"/>
              <w:left w:val="single" w:color="auto" w:sz="4" w:space="0"/>
              <w:bottom w:val="single" w:color="auto" w:sz="4" w:space="0"/>
              <w:right w:val="single" w:color="auto" w:sz="4" w:space="0"/>
            </w:tcBorders>
            <w:vAlign w:val="center"/>
          </w:tcPr>
          <w:p w14:paraId="36B3591D">
            <w:pPr>
              <w:autoSpaceDE w:val="0"/>
              <w:jc w:val="center"/>
              <w:rPr>
                <w:rFonts w:ascii="仿宋" w:hAnsi="仿宋" w:eastAsia="仿宋" w:cs="仿宋"/>
                <w:sz w:val="24"/>
              </w:rPr>
            </w:pPr>
            <w:r>
              <w:rPr>
                <w:rFonts w:hint="eastAsia" w:ascii="仿宋" w:hAnsi="仿宋" w:eastAsia="仿宋" w:cs="仿宋"/>
                <w:sz w:val="24"/>
              </w:rPr>
              <w:t>3</w:t>
            </w:r>
          </w:p>
        </w:tc>
        <w:tc>
          <w:tcPr>
            <w:tcW w:w="250" w:type="pct"/>
            <w:tcBorders>
              <w:top w:val="single" w:color="auto" w:sz="4" w:space="0"/>
              <w:left w:val="single" w:color="auto" w:sz="4" w:space="0"/>
              <w:bottom w:val="single" w:color="auto" w:sz="4" w:space="0"/>
              <w:right w:val="single" w:color="auto" w:sz="4" w:space="0"/>
            </w:tcBorders>
            <w:vAlign w:val="center"/>
          </w:tcPr>
          <w:p w14:paraId="580E9B30">
            <w:pPr>
              <w:autoSpaceDE w:val="0"/>
              <w:jc w:val="center"/>
              <w:rPr>
                <w:rFonts w:ascii="仿宋" w:hAnsi="仿宋" w:eastAsia="仿宋" w:cs="仿宋"/>
                <w:sz w:val="24"/>
              </w:rPr>
            </w:pPr>
            <w:r>
              <w:rPr>
                <w:rFonts w:hint="eastAsia" w:ascii="仿宋" w:hAnsi="仿宋" w:eastAsia="仿宋" w:cs="仿宋"/>
                <w:sz w:val="24"/>
              </w:rPr>
              <w:t>视频演示</w:t>
            </w:r>
          </w:p>
        </w:tc>
        <w:tc>
          <w:tcPr>
            <w:tcW w:w="4499" w:type="pct"/>
            <w:tcBorders>
              <w:top w:val="single" w:color="auto" w:sz="4" w:space="0"/>
              <w:left w:val="single" w:color="auto" w:sz="4" w:space="0"/>
              <w:bottom w:val="single" w:color="auto" w:sz="4" w:space="0"/>
              <w:right w:val="single" w:color="auto" w:sz="4" w:space="0"/>
            </w:tcBorders>
          </w:tcPr>
          <w:p w14:paraId="66B54F5C">
            <w:pPr>
              <w:rPr>
                <w:rFonts w:hint="default" w:ascii="仿宋" w:hAnsi="仿宋" w:eastAsia="仿宋" w:cs="仿宋"/>
                <w:color w:val="FF0000"/>
                <w:sz w:val="24"/>
                <w:lang w:val="en-US" w:eastAsia="zh-CN"/>
              </w:rPr>
            </w:pPr>
            <w:r>
              <w:rPr>
                <w:rFonts w:hint="eastAsia" w:ascii="仿宋" w:hAnsi="仿宋" w:eastAsia="仿宋" w:cs="仿宋"/>
                <w:color w:val="FF0000"/>
                <w:sz w:val="24"/>
                <w:lang w:val="en-US" w:eastAsia="zh-CN"/>
              </w:rPr>
              <w:t>1.视频递交方式：于投标截止前递交至开标地点宁夏回族自治区公共资源交易中心（宁夏回族自治区银川市金凤区北京中路瑞银财富中心5楼开标室）；</w:t>
            </w:r>
          </w:p>
          <w:p w14:paraId="67DC0B10">
            <w:pPr>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2.视频递交要求：本次项目要求提供视频，视频将作为所有产品参数的印证资料，投标供应商应将所投标包的视频文件以U盘形式密封递交，并标注如下信息:投标人名称、项目名称、项目包号等信息。</w:t>
            </w:r>
          </w:p>
          <w:p w14:paraId="3013DE66">
            <w:pPr>
              <w:rPr>
                <w:rFonts w:hint="default"/>
                <w:color w:val="FF0000"/>
                <w:lang w:val="en-US" w:eastAsia="zh-CN"/>
              </w:rPr>
            </w:pPr>
            <w:r>
              <w:rPr>
                <w:rFonts w:hint="eastAsia" w:ascii="仿宋" w:hAnsi="仿宋" w:eastAsia="仿宋" w:cs="仿宋"/>
                <w:color w:val="FF0000"/>
                <w:sz w:val="24"/>
                <w:lang w:val="en-US" w:eastAsia="zh-CN"/>
              </w:rPr>
              <w:t>3.视频拍摄要求：消防车拍摄演示视频需控制在3分钟之内，消防装备器材拍摄演示视频需控制在3分钟之内；视频应采用实物拍摄，建议采用 mp4 格式，若采用其他格式的视频演示，请提前自行下载播放器应用程序，应用程序同时拷贝到U盘。</w:t>
            </w:r>
          </w:p>
        </w:tc>
      </w:tr>
      <w:tr w14:paraId="58BE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50" w:type="pct"/>
            <w:tcBorders>
              <w:top w:val="single" w:color="auto" w:sz="4" w:space="0"/>
              <w:left w:val="single" w:color="auto" w:sz="4" w:space="0"/>
              <w:bottom w:val="single" w:color="auto" w:sz="4" w:space="0"/>
              <w:right w:val="single" w:color="auto" w:sz="4" w:space="0"/>
            </w:tcBorders>
            <w:vAlign w:val="center"/>
          </w:tcPr>
          <w:p w14:paraId="3781061F">
            <w:pPr>
              <w:autoSpaceDE w:val="0"/>
              <w:jc w:val="center"/>
              <w:rPr>
                <w:rFonts w:ascii="仿宋" w:hAnsi="仿宋" w:eastAsia="仿宋" w:cs="仿宋"/>
                <w:sz w:val="24"/>
              </w:rPr>
            </w:pPr>
            <w:r>
              <w:rPr>
                <w:rFonts w:hint="eastAsia" w:ascii="仿宋" w:hAnsi="仿宋" w:eastAsia="仿宋" w:cs="仿宋"/>
                <w:sz w:val="24"/>
              </w:rPr>
              <w:t>4</w:t>
            </w:r>
          </w:p>
        </w:tc>
        <w:tc>
          <w:tcPr>
            <w:tcW w:w="250" w:type="pct"/>
            <w:tcBorders>
              <w:top w:val="single" w:color="auto" w:sz="4" w:space="0"/>
              <w:left w:val="single" w:color="auto" w:sz="4" w:space="0"/>
              <w:bottom w:val="single" w:color="auto" w:sz="4" w:space="0"/>
              <w:right w:val="single" w:color="auto" w:sz="4" w:space="0"/>
            </w:tcBorders>
            <w:vAlign w:val="center"/>
          </w:tcPr>
          <w:p w14:paraId="68DE8052">
            <w:pPr>
              <w:autoSpaceDE w:val="0"/>
              <w:jc w:val="center"/>
              <w:rPr>
                <w:rFonts w:ascii="仿宋" w:hAnsi="仿宋" w:eastAsia="仿宋" w:cs="仿宋"/>
                <w:sz w:val="24"/>
              </w:rPr>
            </w:pPr>
            <w:r>
              <w:rPr>
                <w:rFonts w:hint="eastAsia" w:ascii="仿宋" w:hAnsi="仿宋" w:eastAsia="仿宋" w:cs="仿宋"/>
                <w:sz w:val="24"/>
              </w:rPr>
              <w:t>证明材料</w:t>
            </w:r>
          </w:p>
        </w:tc>
        <w:tc>
          <w:tcPr>
            <w:tcW w:w="4499" w:type="pct"/>
            <w:tcBorders>
              <w:top w:val="single" w:color="auto" w:sz="4" w:space="0"/>
              <w:left w:val="single" w:color="auto" w:sz="4" w:space="0"/>
              <w:bottom w:val="single" w:color="auto" w:sz="4" w:space="0"/>
              <w:right w:val="single" w:color="auto" w:sz="4" w:space="0"/>
            </w:tcBorders>
          </w:tcPr>
          <w:p w14:paraId="74E6BA39">
            <w:pPr>
              <w:autoSpaceDE w:val="0"/>
              <w:rPr>
                <w:rFonts w:hint="eastAsia" w:ascii="仿宋" w:hAnsi="仿宋" w:eastAsia="仿宋" w:cs="仿宋"/>
                <w:sz w:val="24"/>
              </w:rPr>
            </w:pPr>
            <w:r>
              <w:rPr>
                <w:rFonts w:hint="eastAsia" w:ascii="仿宋" w:hAnsi="仿宋" w:eastAsia="仿宋" w:cs="仿宋"/>
                <w:sz w:val="24"/>
              </w:rPr>
              <w:t>提供（202</w:t>
            </w:r>
            <w:r>
              <w:rPr>
                <w:rFonts w:ascii="仿宋" w:hAnsi="仿宋" w:eastAsia="仿宋" w:cs="仿宋"/>
                <w:sz w:val="24"/>
              </w:rPr>
              <w:t>2</w:t>
            </w:r>
            <w:r>
              <w:rPr>
                <w:rFonts w:hint="eastAsia" w:ascii="仿宋" w:hAnsi="仿宋" w:eastAsia="仿宋" w:cs="仿宋"/>
                <w:sz w:val="24"/>
              </w:rPr>
              <w:t>-至今）同类业绩、装备检查维保经历。</w:t>
            </w:r>
          </w:p>
          <w:p w14:paraId="3BBF7E8F">
            <w:pPr>
              <w:autoSpaceDE w:val="0"/>
              <w:rPr>
                <w:rFonts w:hint="eastAsia" w:ascii="仿宋" w:hAnsi="仿宋" w:eastAsia="仿宋" w:cs="仿宋"/>
                <w:sz w:val="24"/>
              </w:rPr>
            </w:pPr>
            <w:r>
              <w:rPr>
                <w:rFonts w:hint="eastAsia" w:ascii="仿宋" w:hAnsi="仿宋" w:eastAsia="仿宋" w:cs="仿宋"/>
                <w:sz w:val="24"/>
              </w:rPr>
              <w:t>业绩评审标准：</w:t>
            </w:r>
          </w:p>
          <w:p w14:paraId="5D809860">
            <w:pPr>
              <w:autoSpaceDE w:val="0"/>
              <w:rPr>
                <w:rFonts w:hint="eastAsia" w:ascii="仿宋" w:hAnsi="仿宋" w:eastAsia="仿宋" w:cs="仿宋"/>
                <w:sz w:val="24"/>
              </w:rPr>
            </w:pPr>
            <w:r>
              <w:rPr>
                <w:rFonts w:hint="eastAsia" w:ascii="仿宋" w:hAnsi="仿宋" w:eastAsia="仿宋" w:cs="仿宋"/>
                <w:sz w:val="24"/>
              </w:rPr>
              <w:t>（1）投标人须提供销售合同，包括合同首页、关键页（能够显示产品名称等信息）和签署盖章页，合同须为投标人直接签订的，投标人代理的生产厂家相关合同业绩不作为评审依据；</w:t>
            </w:r>
          </w:p>
          <w:p w14:paraId="4EACF86A">
            <w:pPr>
              <w:autoSpaceDE w:val="0"/>
              <w:rPr>
                <w:rFonts w:hint="eastAsia" w:ascii="仿宋" w:hAnsi="仿宋" w:eastAsia="仿宋" w:cs="仿宋"/>
                <w:sz w:val="24"/>
              </w:rPr>
            </w:pPr>
            <w:r>
              <w:rPr>
                <w:rFonts w:hint="eastAsia" w:ascii="仿宋" w:hAnsi="仿宋" w:eastAsia="仿宋" w:cs="仿宋"/>
                <w:sz w:val="24"/>
              </w:rPr>
              <w:t>（2）每份业绩中供货产品应当包含本标包核心产品的同类产品；</w:t>
            </w:r>
          </w:p>
          <w:p w14:paraId="6FF2CA77">
            <w:pPr>
              <w:autoSpaceDE w:val="0"/>
              <w:rPr>
                <w:rFonts w:hint="eastAsia" w:ascii="仿宋" w:hAnsi="仿宋" w:eastAsia="仿宋" w:cs="仿宋"/>
                <w:sz w:val="24"/>
              </w:rPr>
            </w:pPr>
            <w:r>
              <w:rPr>
                <w:rFonts w:hint="eastAsia" w:ascii="仿宋" w:hAnsi="仿宋" w:eastAsia="仿宋" w:cs="仿宋"/>
                <w:sz w:val="24"/>
              </w:rPr>
              <w:t>（3）投标人验收报告或验收材料需有采购人签字或盖章；</w:t>
            </w:r>
          </w:p>
          <w:p w14:paraId="73649797">
            <w:pPr>
              <w:autoSpaceDE w:val="0"/>
              <w:rPr>
                <w:rFonts w:hint="eastAsia" w:ascii="仿宋" w:hAnsi="仿宋" w:eastAsia="仿宋" w:cs="仿宋"/>
                <w:sz w:val="24"/>
              </w:rPr>
            </w:pPr>
            <w:r>
              <w:rPr>
                <w:rFonts w:hint="eastAsia" w:ascii="仿宋" w:hAnsi="仿宋" w:eastAsia="仿宋" w:cs="仿宋"/>
                <w:sz w:val="24"/>
              </w:rPr>
              <w:t>以上条件须同时满足，否则不得分。</w:t>
            </w:r>
            <w:r>
              <w:rPr>
                <w:rFonts w:hint="eastAsia" w:ascii="仿宋" w:hAnsi="仿宋" w:eastAsia="仿宋" w:cs="仿宋"/>
                <w:sz w:val="24"/>
              </w:rPr>
              <w:br w:type="textWrapping"/>
            </w:r>
            <w:r>
              <w:rPr>
                <w:rFonts w:hint="eastAsia" w:ascii="仿宋" w:hAnsi="仿宋" w:eastAsia="仿宋" w:cs="仿宋"/>
                <w:sz w:val="24"/>
                <w:lang w:val="en-US" w:eastAsia="zh-CN"/>
              </w:rPr>
              <w:t>维保</w:t>
            </w:r>
            <w:r>
              <w:rPr>
                <w:rFonts w:hint="eastAsia" w:ascii="仿宋" w:hAnsi="仿宋" w:eastAsia="仿宋" w:cs="仿宋"/>
                <w:sz w:val="24"/>
              </w:rPr>
              <w:t>评审标准：</w:t>
            </w:r>
          </w:p>
          <w:p w14:paraId="317903CC">
            <w:pPr>
              <w:autoSpaceDE w:val="0"/>
              <w:rPr>
                <w:rFonts w:hint="eastAsia" w:ascii="仿宋" w:hAnsi="仿宋" w:eastAsia="仿宋" w:cs="仿宋"/>
                <w:sz w:val="24"/>
              </w:rPr>
            </w:pPr>
            <w:r>
              <w:rPr>
                <w:rFonts w:hint="eastAsia" w:ascii="仿宋" w:hAnsi="仿宋" w:eastAsia="仿宋" w:cs="仿宋"/>
                <w:sz w:val="24"/>
              </w:rPr>
              <w:t>（1）检查或维保证证明须包含本标包核心产品的同类产品，否则不作为评审依据。</w:t>
            </w:r>
          </w:p>
          <w:p w14:paraId="5BCEC47B">
            <w:pPr>
              <w:autoSpaceDE w:val="0"/>
              <w:rPr>
                <w:rFonts w:hint="eastAsia" w:ascii="仿宋" w:hAnsi="仿宋" w:eastAsia="仿宋" w:cs="仿宋"/>
                <w:color w:val="FF0000"/>
                <w:sz w:val="24"/>
                <w:lang w:val="en-US" w:eastAsia="zh-CN"/>
              </w:rPr>
            </w:pPr>
            <w:r>
              <w:rPr>
                <w:rFonts w:hint="eastAsia" w:ascii="仿宋" w:hAnsi="仿宋" w:eastAsia="仿宋" w:cs="仿宋"/>
                <w:sz w:val="24"/>
              </w:rPr>
              <w:t>（2）检查或维保证明须为投标人直接负责的，投标人代理的生产厂家相关证明材料不作为评审依据。</w:t>
            </w:r>
          </w:p>
          <w:p w14:paraId="2702CCDA">
            <w:pPr>
              <w:autoSpaceDE w:val="0"/>
              <w:rPr>
                <w:rFonts w:ascii="仿宋" w:hAnsi="仿宋" w:eastAsia="仿宋" w:cs="仿宋"/>
                <w:sz w:val="24"/>
              </w:rPr>
            </w:pPr>
          </w:p>
        </w:tc>
      </w:tr>
      <w:tr w14:paraId="0A0F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50" w:type="pct"/>
            <w:tcBorders>
              <w:top w:val="single" w:color="auto" w:sz="4" w:space="0"/>
              <w:left w:val="single" w:color="auto" w:sz="4" w:space="0"/>
              <w:bottom w:val="single" w:color="auto" w:sz="4" w:space="0"/>
              <w:right w:val="single" w:color="auto" w:sz="4" w:space="0"/>
            </w:tcBorders>
            <w:vAlign w:val="center"/>
          </w:tcPr>
          <w:p w14:paraId="3E7D7649">
            <w:pPr>
              <w:autoSpaceDE w:val="0"/>
              <w:jc w:val="center"/>
              <w:rPr>
                <w:rFonts w:ascii="仿宋" w:hAnsi="仿宋" w:eastAsia="仿宋" w:cs="仿宋"/>
                <w:sz w:val="24"/>
              </w:rPr>
            </w:pPr>
            <w:r>
              <w:rPr>
                <w:rFonts w:hint="eastAsia" w:ascii="仿宋" w:hAnsi="仿宋" w:eastAsia="仿宋" w:cs="仿宋"/>
                <w:sz w:val="24"/>
              </w:rPr>
              <w:t>5</w:t>
            </w:r>
          </w:p>
        </w:tc>
        <w:tc>
          <w:tcPr>
            <w:tcW w:w="250" w:type="pct"/>
            <w:tcBorders>
              <w:top w:val="single" w:color="auto" w:sz="4" w:space="0"/>
              <w:left w:val="single" w:color="auto" w:sz="4" w:space="0"/>
              <w:bottom w:val="single" w:color="auto" w:sz="4" w:space="0"/>
              <w:right w:val="single" w:color="auto" w:sz="4" w:space="0"/>
            </w:tcBorders>
            <w:vAlign w:val="center"/>
          </w:tcPr>
          <w:p w14:paraId="7B2601E8">
            <w:pPr>
              <w:autoSpaceDE w:val="0"/>
              <w:jc w:val="center"/>
              <w:rPr>
                <w:rFonts w:ascii="仿宋" w:hAnsi="仿宋" w:eastAsia="仿宋" w:cs="仿宋"/>
                <w:sz w:val="24"/>
              </w:rPr>
            </w:pPr>
            <w:r>
              <w:rPr>
                <w:rFonts w:hint="eastAsia" w:ascii="仿宋" w:hAnsi="仿宋" w:eastAsia="仿宋" w:cs="仿宋"/>
                <w:sz w:val="24"/>
              </w:rPr>
              <w:t>保修期及售后服务要求</w:t>
            </w:r>
          </w:p>
        </w:tc>
        <w:tc>
          <w:tcPr>
            <w:tcW w:w="4499" w:type="pct"/>
            <w:tcBorders>
              <w:top w:val="single" w:color="auto" w:sz="4" w:space="0"/>
              <w:left w:val="single" w:color="auto" w:sz="4" w:space="0"/>
              <w:bottom w:val="single" w:color="auto" w:sz="4" w:space="0"/>
              <w:right w:val="single" w:color="auto" w:sz="4" w:space="0"/>
            </w:tcBorders>
          </w:tcPr>
          <w:p w14:paraId="3BFE9D33">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1.售后服务</w:t>
            </w:r>
          </w:p>
          <w:p w14:paraId="433FD5AD">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1.1供应商保证其自身具有销售、供货资格，不存在任何侵犯第三方销售资质的情况，包括不限于地区独家销售权，产品独家销售权等，且货物是通过合法渠道进货、全新且未使用过的，所有权没有任何瑕疵的（即不存在资产抵押或其他可能影响货物所有权的事宜），其质量、规格及技术特征应符合采购项目技术规格、参数的要求。供应商应以书面形式提供货物原厂家承诺的质量保证。供应商应于验收后向采购人提供项目各项详细验收报告和技术文件。技术文件包括完整的软、硬件技术资料（含纸介质和光电介质）。</w:t>
            </w:r>
          </w:p>
          <w:p w14:paraId="0D6A6E08">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1.2货物在验收和配发使用期间，采购人依据法律规定或直观观察等日常生活经验能够直接确认的事实，可以直接作为判断是否有质量问题的依据，无需鉴定；确需鉴定的，由供应商按采购人要求送国家消防装备质量监督检验中心检验，鉴定费按合同规定执行。</w:t>
            </w:r>
            <w:r>
              <w:rPr>
                <w:rFonts w:hint="eastAsia" w:ascii="仿宋" w:hAnsi="仿宋" w:eastAsia="仿宋" w:cs="仿宋"/>
                <w:sz w:val="24"/>
                <w:lang w:val="en-US" w:eastAsia="zh-CN"/>
              </w:rPr>
              <w:t>检测报告</w:t>
            </w:r>
            <w:r>
              <w:rPr>
                <w:rFonts w:hint="default" w:ascii="仿宋" w:hAnsi="仿宋" w:eastAsia="仿宋" w:cs="仿宋"/>
                <w:sz w:val="24"/>
                <w:lang w:val="en-US" w:eastAsia="zh-CN"/>
              </w:rPr>
              <w:t>货物不符合质量标准的，采购人有权追究供应商的责任。供应商拒绝送检的，采购人可判定货物不符合质量标准，追究供应商责任。</w:t>
            </w:r>
          </w:p>
          <w:p w14:paraId="1207BCD3">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1.3免费质保期：</w:t>
            </w:r>
          </w:p>
          <w:p w14:paraId="79AA097B">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1.3.1供应商对其提供的全部货物提供质保服务，车辆质保期不低于1年，装备器材质保期不低于1年。若参数中有相应要求，须按参数为准。质保期自采购人、供应商双方代表在货物交付后的验收合格报告书上签字之日起计算。</w:t>
            </w:r>
          </w:p>
          <w:p w14:paraId="1507B883">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1.3.2质保期内，供应商负责对其提供的全部货物进行上门维修和维护，需为车辆装备提供免费保养和其他服务项目。质保期内非采购人的人为原因而出现货物质量及安装问题（包括硬件维修和软件升级），由供应商负责包修、包换或包退，并承担因此而产生的一切费用；包修、包换或包退的零部件等设备，自维修、更换验收合格之日起重新起算质保期。质保期内至少提供1次上门首保服务，费用包含在报价中，不另行收取，投标时在报价明细表中明确免费提供的材料和服务的内容。</w:t>
            </w:r>
          </w:p>
          <w:p w14:paraId="2A7B3985">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1.4保修期：质保期后，供应商提供免费保修服务，车辆保修期不低于5年，所带产品的保修期不低于12个月，主要部件保修期不应低于24个月，装备保修期不低于3年，若参数中有相应要求，须按参数为准。在维修过程中供应商只收取材料成本费，不再收取额外服务费及其相关费用。如有下列情况之一供应商不负责免费保修，但应提供良好的有偿服务：</w:t>
            </w:r>
          </w:p>
          <w:p w14:paraId="04668233">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（1）采购人擅自拆、改、扩货物，连接使用不匹配的外接设备使用所造成产品的损坏。</w:t>
            </w:r>
          </w:p>
          <w:p w14:paraId="636BCCCC">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（2）不按照供应商提供的正确方法、在非产品规定的工作环境下使用引起的产品损坏。</w:t>
            </w:r>
          </w:p>
          <w:p w14:paraId="506EDD89">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（3）由于火灾、洪水、雷电、地震等其它不可抗拒事件引起的产品损坏。</w:t>
            </w:r>
          </w:p>
          <w:p w14:paraId="6FB8015F">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1.5终身维护期：供应商自货物交付使用后以书面形式承诺维修服务，提供货物使用年限内的终身维护服务，主要包括维修、零配件供应等服务。保修服外提供的维护服务双方协商收取相应维修费用、更换零部件费用和升级费用。采购人自维护服务完成2个星期内签字确认，货物维修部分的保修期不应低于12个月。终身维护期内，供应商应负责货物运行的稳定性。</w:t>
            </w:r>
          </w:p>
          <w:p w14:paraId="3ED2E6D0">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1.6供应商向采购人提供全寿命周期的主要耗损件、易损件及更换总成的目录和年度价格清单，且保证供应价格符合市场价标准，如采购人向供应商单独订购零配件，供应商应给予采购人一定的优惠。零配件的供应时间不得长于10天。</w:t>
            </w:r>
          </w:p>
          <w:p w14:paraId="4E2B605B">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1.7供应商应建立缺陷产品召回制，因货物发生质量问题需要成批召回维修的，供应商应及时通知采购人并积极协助办理有关手续，一切费用由供应商承担。如有重大质量问题，必须按照国内相关法律规定程序进行退货、更换等，并承担相关的违约责任。</w:t>
            </w:r>
          </w:p>
          <w:p w14:paraId="6AAFD19E">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1.8 供应商需承诺中标后在采购人所在地有固定的售后服务机构，包括不限于维修办公场地，并具有取得授权的专业技术人员和零配件库存。</w:t>
            </w:r>
          </w:p>
          <w:p w14:paraId="4E55AEFE">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1.9技术成果归属：采购人与供应商在履行合同过程中，产生新的技术成果的（双方先应根据惯例常识判断是否为新产生，不能对判断结果达成一致的，则按照未获得相应知识产权权利证书的即为新产生的标准适用），其相应的知识产权归采购人所有。供应商不得在未征求采购人书面同意的情况下使用或者授权他人使用该技术成果及相关信息，否则相关收益归采购人所有，供应商应另向采购人承担违约责任，并赔偿采购人全部损失（包括且不限于采购人因供应商的违约行为致使需对第三方承担的不利责任等，以及采购人的相关维权费用，包括且不限于律师费（具体金额不超过采购人住所地律师收费指导标准的2倍）、诉讼费、保全费、担保费、鉴定费、交通费、公证费、误工费等）。</w:t>
            </w:r>
            <w:bookmarkStart w:id="7" w:name="_Toc427242768"/>
          </w:p>
          <w:p w14:paraId="6EAA86E7">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1.10服务响应：</w:t>
            </w:r>
          </w:p>
          <w:p w14:paraId="4B00A02D">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（1）中标人应提供24小时的电话服务，支持工程师提供专业技术服务。</w:t>
            </w:r>
          </w:p>
          <w:p w14:paraId="48215B00">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（2）对于采购人提出的服务申请，须在4小时内做出回应，24小时内提出解决方案。</w:t>
            </w:r>
          </w:p>
          <w:p w14:paraId="4C328556">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（3）当接到采购人问题反馈时，应在第一时间提供问题排查建议及解决方法；如果采购人面临问题无法通过远程排除时，中标人的工程师应在72小时内达到故障现场进行故障诊断及排除。</w:t>
            </w:r>
          </w:p>
          <w:p w14:paraId="4BD5F7B8">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（4）售后服务商应认真、准确、完整、真实的填写保养、保修、维修记录，并经采购人签字确认。采购人有权查阅保养、保修、维修记录。</w:t>
            </w:r>
          </w:p>
          <w:p w14:paraId="2B9BA278">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2.培训及技术服务要求</w:t>
            </w:r>
            <w:bookmarkEnd w:id="7"/>
          </w:p>
          <w:p w14:paraId="23514EFF">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1）供应商应随货物为采购人免费提供中文使用说明书，提供产品的功能、使用方法、技术参数、常见问题解决方法等文书材料，并确保用户获知产品序列号、型号名称、版本号以及配合使用的主要设备品牌、型号和版本等信息。</w:t>
            </w:r>
          </w:p>
          <w:p w14:paraId="7B710AEA">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（2）供应商应公开售后服务商的联系方式、公司名称、公司地址、邮政编码、公司主页、电子邮件、联系电话及传真，不断完善服务管理和拓展新的服务模式，接受采购人的监督和评价。</w:t>
            </w:r>
          </w:p>
          <w:p w14:paraId="50E60E16">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供应商负责使用前的必要培训及产品使用年限内的技术咨询，并应书面承诺不低于国家有关规定所提供的售后服务作为投标文件和合同文件的相关内容，对售后服务内容、时限、方式及违约责任等要件予以明确。货物配发至采购人基层使用单位后一个月内组织人员开展培训，主要内容为货物的基本结构、性能、主要部件的构造及原理，日常使用操作、保养与管理，常见故障的排除，紧急情况的处理等，车辆培训不少于2天，新型器材、特种器材培训时间不少于1天，普通器材培训不少于半天，培训地点主要在货物安装现场或按双方协商安排。培训后形成培训记录，记录应包括培训项目和参加人员等信息，并由双方签字存档。</w:t>
            </w:r>
          </w:p>
          <w:p w14:paraId="7BEB86F6">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4）供应商应建立质量跟踪档案，每季度不少于一次向采购人进行现场（或电话）回访，以便及时了解用户的意见，迅速改变服务的不足之处。每年不少于1次巡检和培训，及时掌握产品使用情况，以及产品的故障、缺陷情况，及时给予维修保养，并建立预警系统，保证售后服务及时性，以保证货物的正常高效使用，并保存售后服务情况记录及采购人使用单位的反馈意见。</w:t>
            </w:r>
          </w:p>
          <w:p w14:paraId="6D754725">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3．验收方法及标准</w:t>
            </w:r>
          </w:p>
          <w:p w14:paraId="1711E9DC">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采购人组成消防装备验收小组，对采购的货物进行验收，不符合合同规定、无售后服务联系单的，采购人将不予验收合格并不予支付货款。供应商必须派出代表全程参加货物验收工作。</w:t>
            </w:r>
          </w:p>
          <w:p w14:paraId="50DE5E89">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3.1验收方式包括到货验收、节点验收、抽样送检等方式。</w:t>
            </w:r>
          </w:p>
          <w:p w14:paraId="21F54E6D">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3.2验收内容包括商务验收、技术验收、水力性能测试。</w:t>
            </w:r>
          </w:p>
          <w:p w14:paraId="5355EDEB">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3.3商务要求履约情况是对照合同文本以及投标商务响应逐条核查评定。</w:t>
            </w:r>
          </w:p>
          <w:p w14:paraId="46D2409E">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商务验收是对采购合同、投标文件约定的装备到货时间、规格、型号、配置、售后服务等信息进行核查评定。</w:t>
            </w:r>
          </w:p>
          <w:p w14:paraId="6E9332A2">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3.4技术要求履约情况是对照投标技术响应以及</w:t>
            </w:r>
            <w:r>
              <w:rPr>
                <w:rFonts w:hint="eastAsia" w:ascii="仿宋" w:hAnsi="仿宋" w:eastAsia="仿宋" w:cs="仿宋"/>
                <w:sz w:val="24"/>
                <w:lang w:val="en-US" w:eastAsia="zh-CN"/>
              </w:rPr>
              <w:t>检测报告</w:t>
            </w:r>
            <w:r>
              <w:rPr>
                <w:rFonts w:hint="default" w:ascii="仿宋" w:hAnsi="仿宋" w:eastAsia="仿宋" w:cs="仿宋"/>
                <w:sz w:val="24"/>
                <w:lang w:val="en-US" w:eastAsia="zh-CN"/>
              </w:rPr>
              <w:t>原件开展资料验收、一致性验收和质量性能验收。</w:t>
            </w:r>
          </w:p>
          <w:p w14:paraId="7F9EBB17">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资料验收是对到货装备的</w:t>
            </w:r>
            <w:r>
              <w:rPr>
                <w:rFonts w:hint="eastAsia" w:ascii="仿宋" w:hAnsi="仿宋" w:eastAsia="仿宋" w:cs="仿宋"/>
                <w:sz w:val="24"/>
                <w:lang w:val="en-US" w:eastAsia="zh-CN"/>
              </w:rPr>
              <w:t>检测报告</w:t>
            </w:r>
            <w:r>
              <w:rPr>
                <w:rFonts w:hint="default" w:ascii="仿宋" w:hAnsi="仿宋" w:eastAsia="仿宋" w:cs="仿宋"/>
                <w:sz w:val="24"/>
                <w:lang w:val="en-US" w:eastAsia="zh-CN"/>
              </w:rPr>
              <w:t>、票据、合格证等资料是否齐全，与采购合同、投标文件约定的信息是否一致、完整和真实有效进行核查评定。</w:t>
            </w:r>
          </w:p>
          <w:p w14:paraId="234D100C">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一致性验收是对到货装备的名称、厂牌型号、数量规模、尺寸大小、性能参数等信息与采购合同、投标文件约定的信息是否一致，组成部件和相关资料是否齐全进行核查评定。</w:t>
            </w:r>
          </w:p>
          <w:p w14:paraId="55A716A7">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质量性能验收是对到货装备的功能及性能指标与投标文件、</w:t>
            </w:r>
            <w:r>
              <w:rPr>
                <w:rFonts w:hint="eastAsia" w:ascii="仿宋" w:hAnsi="仿宋" w:eastAsia="仿宋" w:cs="仿宋"/>
                <w:sz w:val="24"/>
                <w:lang w:val="en-US" w:eastAsia="zh-CN"/>
              </w:rPr>
              <w:t>检测报告</w:t>
            </w:r>
            <w:r>
              <w:rPr>
                <w:rFonts w:hint="default" w:ascii="仿宋" w:hAnsi="仿宋" w:eastAsia="仿宋" w:cs="仿宋"/>
                <w:sz w:val="24"/>
                <w:lang w:val="en-US" w:eastAsia="zh-CN"/>
              </w:rPr>
              <w:t>等技术文本的要求进行核查评定，通过现场测量测试、</w:t>
            </w:r>
            <w:r>
              <w:rPr>
                <w:rFonts w:hint="eastAsia" w:ascii="仿宋" w:hAnsi="仿宋" w:eastAsia="仿宋" w:cs="仿宋"/>
                <w:sz w:val="24"/>
                <w:lang w:val="en-US" w:eastAsia="zh-CN"/>
              </w:rPr>
              <w:t>检测报告</w:t>
            </w:r>
            <w:r>
              <w:rPr>
                <w:rFonts w:hint="default" w:ascii="仿宋" w:hAnsi="仿宋" w:eastAsia="仿宋" w:cs="仿宋"/>
                <w:sz w:val="24"/>
                <w:lang w:val="en-US" w:eastAsia="zh-CN"/>
              </w:rPr>
              <w:t>佐证、抽样送检等方式开展。</w:t>
            </w:r>
          </w:p>
          <w:p w14:paraId="4309B67C">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3.5水力性能测试是对带消防水泵、水炮的消防车、远程供水系统及排涝装备的泵、炮在不同压力、吸深工况下的水力性能开展测试。</w:t>
            </w:r>
          </w:p>
          <w:p w14:paraId="74771CBE">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水力性能测试核对装备的流量、压力、真空度、温度、转速等性能指标。</w:t>
            </w:r>
          </w:p>
          <w:p w14:paraId="57C63405">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3.6个人防护装备等验收时组织抽样送有资质的机构检测。</w:t>
            </w:r>
          </w:p>
          <w:p w14:paraId="45B75211">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抽样时，按留样封存数量和送检数量1:1的比例进行抽样，产品送第三方机构检测。</w:t>
            </w:r>
          </w:p>
          <w:p w14:paraId="7D00F183">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3.7可委托相关单位或第三方专业机构、外部专家组等单位开展验收。</w:t>
            </w:r>
          </w:p>
          <w:p w14:paraId="0D27952A">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第三方验收由被委托机构和委托单位共同制定验收方案实施。</w:t>
            </w:r>
          </w:p>
          <w:p w14:paraId="3910D04A">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3.8商务要求履约情况和技术要求履约情况、水力性能测试均合格的方可综合评定为合格。</w:t>
            </w:r>
          </w:p>
          <w:p w14:paraId="6165A778">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3.9商务要求履约情况经投标商务响应核查通过方可评定为合格。</w:t>
            </w:r>
          </w:p>
          <w:p w14:paraId="45B49EC5">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3.10技术要求履约情况经资料核查、一致性核查、质量性能核查通过的方可评定为合格。</w:t>
            </w:r>
          </w:p>
          <w:p w14:paraId="2F78F833">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3.11装备的功率、角度、尺寸、质量、容量等重要性能指标偏差不超过国家标准、行业标准规定误差范围的判定为合格。</w:t>
            </w:r>
          </w:p>
          <w:p w14:paraId="666FA5F4">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3.12对照投标文件的实际响应情况，验收中有1项指标（含本数）以上不合格的，综合评定为不合格。</w:t>
            </w:r>
          </w:p>
          <w:p w14:paraId="4FC37056">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送检样品技术指标不符合要求的，综合评定为不合格。</w:t>
            </w:r>
          </w:p>
          <w:p w14:paraId="548CE102">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水力性能测试不合格的，综合评定为不合格。</w:t>
            </w:r>
          </w:p>
          <w:p w14:paraId="7ACF8F2F">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3.13因技术升级、产品迭代等导致装备个别部件与投标文件不相符的，在不影响装备质量、性能并征得用户单位同意，供应商应在交货前提交变更函。</w:t>
            </w:r>
          </w:p>
          <w:p w14:paraId="590C1480">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器材变更函应在交货期30日前提交。</w:t>
            </w:r>
          </w:p>
          <w:p w14:paraId="3BB2D323">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3.14综合评定不合格的装备，供应商整改完毕后应及时申请复验，复验程序参照初验程序进行。</w:t>
            </w:r>
          </w:p>
          <w:p w14:paraId="0ECDCAC9">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器材整改期限不得超过</w:t>
            </w:r>
            <w:r>
              <w:rPr>
                <w:rFonts w:hint="eastAsia" w:ascii="仿宋" w:hAnsi="仿宋" w:eastAsia="仿宋" w:cs="仿宋"/>
                <w:sz w:val="24"/>
                <w:lang w:val="en-US" w:eastAsia="zh-CN"/>
              </w:rPr>
              <w:t>15</w:t>
            </w:r>
            <w:r>
              <w:rPr>
                <w:rFonts w:hint="default" w:ascii="仿宋" w:hAnsi="仿宋" w:eastAsia="仿宋" w:cs="仿宋"/>
                <w:sz w:val="24"/>
                <w:lang w:val="en-US" w:eastAsia="zh-CN"/>
              </w:rPr>
              <w:t>日，整改时间从第1次综合评定不合格起算。</w:t>
            </w:r>
          </w:p>
          <w:p w14:paraId="3FD395AB">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3.15装备交付期限前，确因国家政策调整或不可抗力等特殊情况造成逾期交货的，供应商应提供佐证材料报采购人。</w:t>
            </w:r>
          </w:p>
          <w:p w14:paraId="30F3BE53">
            <w:pPr>
              <w:autoSpaceDE w:val="0"/>
              <w:rPr>
                <w:rFonts w:hint="default" w:ascii="仿宋" w:hAnsi="仿宋" w:eastAsia="仿宋" w:cs="仿宋"/>
                <w:sz w:val="24"/>
                <w:lang w:val="en-US" w:eastAsia="zh-CN"/>
              </w:rPr>
            </w:pPr>
            <w:r>
              <w:rPr>
                <w:rFonts w:hint="default" w:ascii="仿宋" w:hAnsi="仿宋" w:eastAsia="仿宋" w:cs="仿宋"/>
                <w:sz w:val="24"/>
                <w:lang w:val="en-US" w:eastAsia="zh-CN"/>
              </w:rPr>
              <w:t>3.16装备验收过程中，器材2次综合评定不合格的或者整改期限从第1次综合评定不合格起算超过30日，采购人可依法解除合同并追究供应商违约责任。</w:t>
            </w:r>
          </w:p>
          <w:p w14:paraId="50859073">
            <w:pPr>
              <w:autoSpaceDE w:val="0"/>
            </w:pPr>
            <w:r>
              <w:rPr>
                <w:rFonts w:hint="eastAsia" w:ascii="仿宋" w:hAnsi="仿宋" w:eastAsia="仿宋" w:cs="仿宋"/>
                <w:sz w:val="24"/>
                <w:lang w:val="en-US" w:eastAsia="zh-CN"/>
              </w:rPr>
              <w:t>3.17</w:t>
            </w:r>
            <w:r>
              <w:rPr>
                <w:rFonts w:hint="default" w:ascii="仿宋" w:hAnsi="仿宋" w:eastAsia="仿宋" w:cs="仿宋"/>
                <w:sz w:val="24"/>
                <w:lang w:val="en-US" w:eastAsia="zh-CN"/>
              </w:rPr>
              <w:t>交货前，所有器材供货厂家须在应急管理部消防救援局消防装备物资信息采集系统（http://xfzb.119.gov.cn）录入装备信息，申请装备编码，并按照应急管理部消防救援局和宁夏回族自治区消防救援总队要求，制作RFID数字管理标签。中标人提供装备要正确安装RFID标签并预先填写系统分配的RFID编码。投标人必须对上述要求在投标文件中做出承诺(格式后附)，并且由此所产生的费用必须包含在投标报价内，投标人不提供相关承诺的，视为未实质性响应招标文件要求，投标无效。消防装备物资信息采集系统注册录入请联系华设设计集团股份有限公司：马经理15651614762；RFID标签的安装方案请联系宁夏消防救援总队。</w:t>
            </w:r>
            <w:r>
              <w:rPr>
                <w:rFonts w:hint="eastAsia" w:ascii="仿宋" w:hAnsi="仿宋" w:eastAsia="仿宋" w:cs="仿宋"/>
                <w:sz w:val="24"/>
                <w:lang w:val="en-US" w:eastAsia="zh-CN"/>
              </w:rPr>
              <w:t>韩助理</w:t>
            </w:r>
            <w:r>
              <w:rPr>
                <w:rFonts w:hint="default" w:ascii="仿宋" w:hAnsi="仿宋" w:eastAsia="仿宋" w:cs="仿宋"/>
                <w:sz w:val="24"/>
                <w:lang w:val="en-US" w:eastAsia="zh-CN"/>
              </w:rPr>
              <w:t>：0951-505763</w:t>
            </w:r>
            <w:r>
              <w:rPr>
                <w:rFonts w:hint="eastAsia" w:ascii="仿宋" w:hAnsi="仿宋" w:eastAsia="仿宋" w:cs="仿宋"/>
                <w:sz w:val="24"/>
                <w:lang w:val="en-US" w:eastAsia="zh-CN"/>
              </w:rPr>
              <w:t>6</w:t>
            </w:r>
          </w:p>
        </w:tc>
      </w:tr>
      <w:tr w14:paraId="1380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50" w:type="pct"/>
            <w:tcBorders>
              <w:top w:val="single" w:color="auto" w:sz="4" w:space="0"/>
              <w:left w:val="single" w:color="auto" w:sz="4" w:space="0"/>
              <w:bottom w:val="single" w:color="auto" w:sz="4" w:space="0"/>
              <w:right w:val="single" w:color="auto" w:sz="4" w:space="0"/>
            </w:tcBorders>
            <w:vAlign w:val="center"/>
          </w:tcPr>
          <w:p w14:paraId="1203817B">
            <w:pPr>
              <w:autoSpaceDE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250" w:type="pct"/>
            <w:tcBorders>
              <w:top w:val="single" w:color="auto" w:sz="4" w:space="0"/>
              <w:left w:val="single" w:color="auto" w:sz="4" w:space="0"/>
              <w:bottom w:val="single" w:color="auto" w:sz="4" w:space="0"/>
              <w:right w:val="single" w:color="auto" w:sz="4" w:space="0"/>
            </w:tcBorders>
            <w:vAlign w:val="center"/>
          </w:tcPr>
          <w:p w14:paraId="7B817D61">
            <w:pPr>
              <w:autoSpaceDE w:val="0"/>
              <w:rPr>
                <w:rFonts w:hint="eastAsia" w:ascii="仿宋" w:hAnsi="仿宋" w:eastAsia="仿宋" w:cs="仿宋"/>
                <w:sz w:val="24"/>
                <w:lang w:val="en-US" w:eastAsia="zh-CN"/>
              </w:rPr>
            </w:pPr>
            <w:r>
              <w:rPr>
                <w:rFonts w:hint="eastAsia" w:ascii="仿宋" w:hAnsi="仿宋" w:eastAsia="仿宋" w:cs="仿宋"/>
                <w:sz w:val="24"/>
              </w:rPr>
              <w:t>启动异常低价投标（响应）审查程序</w:t>
            </w:r>
          </w:p>
        </w:tc>
        <w:tc>
          <w:tcPr>
            <w:tcW w:w="4499" w:type="pct"/>
            <w:tcBorders>
              <w:top w:val="single" w:color="auto" w:sz="4" w:space="0"/>
              <w:left w:val="single" w:color="auto" w:sz="4" w:space="0"/>
              <w:bottom w:val="single" w:color="auto" w:sz="4" w:space="0"/>
              <w:right w:val="single" w:color="auto" w:sz="4" w:space="0"/>
            </w:tcBorders>
          </w:tcPr>
          <w:p w14:paraId="6C8B6783">
            <w:pPr>
              <w:autoSpaceDE w:val="0"/>
              <w:rPr>
                <w:rFonts w:hint="default" w:ascii="仿宋" w:hAnsi="仿宋" w:eastAsia="仿宋" w:cs="仿宋"/>
                <w:sz w:val="24"/>
              </w:rPr>
            </w:pPr>
            <w:r>
              <w:rPr>
                <w:rFonts w:hint="eastAsia" w:ascii="仿宋" w:hAnsi="仿宋" w:eastAsia="仿宋" w:cs="仿宋"/>
                <w:sz w:val="24"/>
              </w:rPr>
              <w:t>评审中出现下列情形之一的，评审委员会应当启动异常低价投标（响应）审查程序：</w:t>
            </w:r>
            <w:r>
              <w:rPr>
                <w:rFonts w:hint="default" w:ascii="仿宋" w:hAnsi="仿宋" w:eastAsia="仿宋" w:cs="仿宋"/>
                <w:sz w:val="24"/>
              </w:rPr>
              <w:t>（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14:paraId="75E105DC">
            <w:pPr>
              <w:autoSpaceDE w:val="0"/>
              <w:rPr>
                <w:rFonts w:hint="default" w:ascii="仿宋" w:hAnsi="仿宋" w:eastAsia="仿宋" w:cs="仿宋"/>
                <w:sz w:val="24"/>
                <w:lang w:val="en-US" w:eastAsia="zh-CN"/>
              </w:rPr>
            </w:pPr>
            <w:r>
              <w:rPr>
                <w:rFonts w:hint="eastAsia" w:ascii="仿宋" w:hAnsi="仿宋" w:eastAsia="仿宋" w:cs="仿宋"/>
                <w:sz w:val="24"/>
                <w:lang w:val="en-US" w:eastAsia="zh-CN"/>
              </w:rPr>
              <w:t>有以上任意一种情形评审委员会将要求投标供应商提供以下资料予以证明：</w:t>
            </w:r>
          </w:p>
          <w:p w14:paraId="0CE23321">
            <w:pPr>
              <w:autoSpaceDE w:val="0"/>
              <w:rPr>
                <w:rFonts w:hint="eastAsia" w:ascii="仿宋" w:hAnsi="仿宋" w:eastAsia="仿宋" w:cs="仿宋"/>
                <w:sz w:val="24"/>
              </w:rPr>
            </w:pPr>
            <w:r>
              <w:rPr>
                <w:rFonts w:hint="eastAsia" w:ascii="仿宋" w:hAnsi="仿宋" w:eastAsia="仿宋" w:cs="仿宋"/>
                <w:sz w:val="24"/>
              </w:rPr>
              <w:t>（1）要求供应商提供成本证明材料，材料必须包含原材料成本、生产成本、间接成本、包装及运输成本、设备折旧、摊销、各种税费等所有构成成本的内容。成本证明材料应由供应商及生产厂家提供并确认，仅由供应商提供不予采纳，成本证明材料必须提供原材料采购发票、财务报表等证明材料作为佐证，仅提供成本构成说明而不附佐证材料不予采纳。</w:t>
            </w:r>
          </w:p>
          <w:p w14:paraId="63C46C87">
            <w:pPr>
              <w:autoSpaceDE w:val="0"/>
              <w:rPr>
                <w:rFonts w:hint="eastAsia" w:ascii="仿宋" w:hAnsi="仿宋" w:eastAsia="仿宋" w:cs="仿宋"/>
                <w:sz w:val="24"/>
              </w:rPr>
            </w:pPr>
            <w:r>
              <w:rPr>
                <w:rFonts w:hint="eastAsia" w:ascii="仿宋" w:hAnsi="仿宋" w:eastAsia="仿宋" w:cs="仿宋"/>
                <w:sz w:val="24"/>
              </w:rPr>
              <w:t>（2）要求供应商提供同样产品中标业绩供货合同和发票、验收报告。</w:t>
            </w:r>
          </w:p>
          <w:p w14:paraId="6C5BA051">
            <w:pPr>
              <w:autoSpaceDE w:val="0"/>
              <w:rPr>
                <w:rFonts w:hint="eastAsia" w:ascii="仿宋" w:hAnsi="仿宋" w:eastAsia="仿宋" w:cs="仿宋"/>
                <w:sz w:val="24"/>
              </w:rPr>
            </w:pPr>
            <w:r>
              <w:rPr>
                <w:rFonts w:hint="eastAsia" w:ascii="仿宋" w:hAnsi="仿宋" w:eastAsia="仿宋" w:cs="仿宋"/>
                <w:sz w:val="24"/>
              </w:rPr>
              <w:t>（3）投标人书面说明应当签字确认或者加盖公章，否则无效。书面说明的签字确认，由其法定代表人（负责人）/主要负责人/本人或者其授权代表签字确认。</w:t>
            </w:r>
          </w:p>
          <w:p w14:paraId="3B4507E3">
            <w:pPr>
              <w:autoSpaceDE w:val="0"/>
              <w:rPr>
                <w:rFonts w:hint="eastAsia" w:ascii="仿宋" w:hAnsi="仿宋" w:eastAsia="仿宋" w:cs="仿宋"/>
                <w:sz w:val="24"/>
              </w:rPr>
            </w:pPr>
            <w:r>
              <w:rPr>
                <w:rFonts w:hint="eastAsia" w:ascii="仿宋" w:hAnsi="仿宋" w:eastAsia="仿宋" w:cs="仿宋"/>
                <w:sz w:val="24"/>
              </w:rPr>
              <w:t>（4）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响应文件作为无效处理。</w:t>
            </w:r>
          </w:p>
          <w:p w14:paraId="5B37AA29">
            <w:pPr>
              <w:autoSpaceDE w:val="0"/>
              <w:rPr>
                <w:rFonts w:hint="default" w:ascii="仿宋" w:hAnsi="仿宋" w:eastAsia="仿宋" w:cs="仿宋"/>
                <w:sz w:val="24"/>
              </w:rPr>
            </w:pPr>
            <w:r>
              <w:rPr>
                <w:rFonts w:hint="eastAsia" w:ascii="仿宋" w:hAnsi="仿宋" w:eastAsia="仿宋" w:cs="仿宋"/>
                <w:sz w:val="24"/>
              </w:rPr>
              <w:t xml:space="preserve">    供应商应在代理机构发出澄清说明后一小时内进行回复，不能在规定时间内证明其报价合理性的，将其作为无效投标处理。</w:t>
            </w:r>
          </w:p>
        </w:tc>
      </w:tr>
      <w:tr w14:paraId="0169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50" w:type="pct"/>
            <w:tcBorders>
              <w:top w:val="single" w:color="auto" w:sz="4" w:space="0"/>
              <w:left w:val="single" w:color="auto" w:sz="4" w:space="0"/>
              <w:bottom w:val="single" w:color="auto" w:sz="4" w:space="0"/>
              <w:right w:val="single" w:color="auto" w:sz="4" w:space="0"/>
            </w:tcBorders>
            <w:vAlign w:val="center"/>
          </w:tcPr>
          <w:p w14:paraId="697BA523">
            <w:pPr>
              <w:autoSpaceDE w:val="0"/>
              <w:jc w:val="center"/>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250" w:type="pct"/>
            <w:tcBorders>
              <w:top w:val="single" w:color="auto" w:sz="4" w:space="0"/>
              <w:left w:val="single" w:color="auto" w:sz="4" w:space="0"/>
              <w:right w:val="single" w:color="auto" w:sz="4" w:space="0"/>
            </w:tcBorders>
            <w:vAlign w:val="center"/>
          </w:tcPr>
          <w:p w14:paraId="5F7040FA">
            <w:pPr>
              <w:autoSpaceDE w:val="0"/>
              <w:rPr>
                <w:rFonts w:hint="eastAsia" w:ascii="仿宋" w:hAnsi="仿宋" w:eastAsia="仿宋" w:cs="仿宋"/>
                <w:sz w:val="24"/>
                <w:lang w:val="en-US" w:eastAsia="zh-CN"/>
              </w:rPr>
            </w:pPr>
            <w:r>
              <w:rPr>
                <w:rFonts w:hint="eastAsia" w:ascii="仿宋" w:hAnsi="仿宋" w:eastAsia="仿宋" w:cs="仿宋"/>
                <w:sz w:val="24"/>
                <w:lang w:val="en-US" w:eastAsia="zh-CN"/>
              </w:rPr>
              <w:t>参数要求</w:t>
            </w:r>
          </w:p>
        </w:tc>
        <w:tc>
          <w:tcPr>
            <w:tcW w:w="4499" w:type="pct"/>
            <w:tcBorders>
              <w:top w:val="single" w:color="auto" w:sz="4" w:space="0"/>
              <w:left w:val="single" w:color="auto" w:sz="4" w:space="0"/>
              <w:right w:val="single" w:color="auto" w:sz="4" w:space="0"/>
            </w:tcBorders>
          </w:tcPr>
          <w:p w14:paraId="4F6C7F6C">
            <w:pPr>
              <w:autoSpaceDE w:val="0"/>
              <w:rPr>
                <w:rFonts w:hint="eastAsia" w:ascii="仿宋" w:hAnsi="仿宋" w:eastAsia="仿宋" w:cs="仿宋"/>
                <w:sz w:val="24"/>
                <w:highlight w:val="cyan"/>
              </w:rPr>
            </w:pPr>
            <w:r>
              <w:rPr>
                <w:rFonts w:hint="eastAsia" w:ascii="仿宋" w:hAnsi="仿宋" w:eastAsia="仿宋" w:cs="仿宋"/>
                <w:sz w:val="24"/>
                <w:highlight w:val="cyan"/>
                <w:lang w:val="en-US" w:eastAsia="zh-CN"/>
              </w:rPr>
              <w:t>1.</w:t>
            </w:r>
            <w:r>
              <w:rPr>
                <w:rFonts w:hint="eastAsia" w:ascii="仿宋" w:hAnsi="仿宋" w:eastAsia="仿宋" w:cs="仿宋"/>
                <w:sz w:val="24"/>
                <w:highlight w:val="cyan"/>
              </w:rPr>
              <w:t>设置永久性标志及产品数据标识；</w:t>
            </w:r>
          </w:p>
          <w:p w14:paraId="1DCD97D2">
            <w:pPr>
              <w:autoSpaceDE w:val="0"/>
              <w:rPr>
                <w:rFonts w:hint="eastAsia" w:ascii="仿宋" w:hAnsi="仿宋" w:eastAsia="仿宋" w:cs="仿宋"/>
                <w:sz w:val="24"/>
              </w:rPr>
            </w:pPr>
            <w:r>
              <w:rPr>
                <w:rFonts w:hint="eastAsia" w:ascii="仿宋" w:hAnsi="仿宋" w:eastAsia="仿宋" w:cs="仿宋"/>
                <w:sz w:val="24"/>
                <w:highlight w:val="cyan"/>
              </w:rPr>
              <w:t>2.提供具备法定资质的检测机构出具检测报告或由国家认可的检测机构出具检测报告。检测内容均在认可范围内。（检测机构须具有国家认证认可监督管理委员会或省级市场监督管理部门颁发的有效期内的检验检测机构资质认定证书（CMA证书），并具备本项目要求的检测项次的检测能力（需提供通过资质认定计量认证项目表））</w:t>
            </w:r>
          </w:p>
        </w:tc>
      </w:tr>
    </w:tbl>
    <w:p w14:paraId="6898DE42">
      <w:pPr>
        <w:rPr>
          <w:rFonts w:ascii="仿宋" w:hAnsi="仿宋" w:eastAsia="仿宋" w:cs="仿宋"/>
          <w:b/>
          <w:bCs/>
        </w:rPr>
      </w:pPr>
      <w:bookmarkStart w:id="8" w:name="_GoBack"/>
      <w:bookmarkEnd w:id="8"/>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yNzc3NzI5NmRhNThiNzc0NGRjNmQxYWE5NDEzN2QifQ=="/>
  </w:docVars>
  <w:rsids>
    <w:rsidRoot w:val="00110767"/>
    <w:rsid w:val="00010FD0"/>
    <w:rsid w:val="00014649"/>
    <w:rsid w:val="00026CCC"/>
    <w:rsid w:val="00050B27"/>
    <w:rsid w:val="0006566C"/>
    <w:rsid w:val="000C2313"/>
    <w:rsid w:val="000D5D89"/>
    <w:rsid w:val="00110767"/>
    <w:rsid w:val="00162224"/>
    <w:rsid w:val="00187ED2"/>
    <w:rsid w:val="001B590D"/>
    <w:rsid w:val="00203A96"/>
    <w:rsid w:val="0023627C"/>
    <w:rsid w:val="00253E07"/>
    <w:rsid w:val="0029250E"/>
    <w:rsid w:val="00294246"/>
    <w:rsid w:val="002C5F91"/>
    <w:rsid w:val="002D29C5"/>
    <w:rsid w:val="003755A3"/>
    <w:rsid w:val="003C1A02"/>
    <w:rsid w:val="003D7F2C"/>
    <w:rsid w:val="00400383"/>
    <w:rsid w:val="00404BAD"/>
    <w:rsid w:val="00417267"/>
    <w:rsid w:val="00442009"/>
    <w:rsid w:val="00444979"/>
    <w:rsid w:val="00484F24"/>
    <w:rsid w:val="004A1158"/>
    <w:rsid w:val="004F2EE5"/>
    <w:rsid w:val="00535912"/>
    <w:rsid w:val="00535C21"/>
    <w:rsid w:val="00560142"/>
    <w:rsid w:val="005D2B95"/>
    <w:rsid w:val="006910E8"/>
    <w:rsid w:val="00696C78"/>
    <w:rsid w:val="006A70E0"/>
    <w:rsid w:val="006C5344"/>
    <w:rsid w:val="006E1BB7"/>
    <w:rsid w:val="00786C46"/>
    <w:rsid w:val="007B4F0E"/>
    <w:rsid w:val="007C1BB2"/>
    <w:rsid w:val="007C2BB0"/>
    <w:rsid w:val="0081333E"/>
    <w:rsid w:val="00855BB4"/>
    <w:rsid w:val="008642D2"/>
    <w:rsid w:val="0087368F"/>
    <w:rsid w:val="00920750"/>
    <w:rsid w:val="0092763E"/>
    <w:rsid w:val="009F028D"/>
    <w:rsid w:val="00A15FB7"/>
    <w:rsid w:val="00A540E8"/>
    <w:rsid w:val="00A6070C"/>
    <w:rsid w:val="00A63FDE"/>
    <w:rsid w:val="00A90AFB"/>
    <w:rsid w:val="00A920D5"/>
    <w:rsid w:val="00A94221"/>
    <w:rsid w:val="00AD1306"/>
    <w:rsid w:val="00AD4C74"/>
    <w:rsid w:val="00AF3944"/>
    <w:rsid w:val="00B00B3E"/>
    <w:rsid w:val="00B128B5"/>
    <w:rsid w:val="00B5415F"/>
    <w:rsid w:val="00B619BF"/>
    <w:rsid w:val="00B63B1D"/>
    <w:rsid w:val="00C3437C"/>
    <w:rsid w:val="00C71626"/>
    <w:rsid w:val="00C803ED"/>
    <w:rsid w:val="00CB7C6C"/>
    <w:rsid w:val="00D10B3A"/>
    <w:rsid w:val="00DA3504"/>
    <w:rsid w:val="00DA48B8"/>
    <w:rsid w:val="00DF690A"/>
    <w:rsid w:val="00E558CF"/>
    <w:rsid w:val="00E94B0D"/>
    <w:rsid w:val="00F80BF1"/>
    <w:rsid w:val="00FB0939"/>
    <w:rsid w:val="00FC2CD8"/>
    <w:rsid w:val="00FC71B7"/>
    <w:rsid w:val="01593EC7"/>
    <w:rsid w:val="01AD573E"/>
    <w:rsid w:val="02150CAC"/>
    <w:rsid w:val="02474E4F"/>
    <w:rsid w:val="02CF4608"/>
    <w:rsid w:val="02E079AC"/>
    <w:rsid w:val="038D05BA"/>
    <w:rsid w:val="03B11A9D"/>
    <w:rsid w:val="050126C3"/>
    <w:rsid w:val="053D6FF6"/>
    <w:rsid w:val="055F79D3"/>
    <w:rsid w:val="05D5668D"/>
    <w:rsid w:val="06EC73EC"/>
    <w:rsid w:val="070C1A81"/>
    <w:rsid w:val="076C6E3C"/>
    <w:rsid w:val="081467CE"/>
    <w:rsid w:val="083348CE"/>
    <w:rsid w:val="084E3073"/>
    <w:rsid w:val="08C36384"/>
    <w:rsid w:val="090E7CEB"/>
    <w:rsid w:val="098559D6"/>
    <w:rsid w:val="0A141797"/>
    <w:rsid w:val="0A194A99"/>
    <w:rsid w:val="0AB953D3"/>
    <w:rsid w:val="0ABF717F"/>
    <w:rsid w:val="0AD52F2A"/>
    <w:rsid w:val="0B5C3FBD"/>
    <w:rsid w:val="0DC7774C"/>
    <w:rsid w:val="0E2E411B"/>
    <w:rsid w:val="0F1151F9"/>
    <w:rsid w:val="0F1E5815"/>
    <w:rsid w:val="0FC348F2"/>
    <w:rsid w:val="0FE65EEE"/>
    <w:rsid w:val="110250A2"/>
    <w:rsid w:val="119003F7"/>
    <w:rsid w:val="11920506"/>
    <w:rsid w:val="11ED22F7"/>
    <w:rsid w:val="12557A4B"/>
    <w:rsid w:val="131E5EEC"/>
    <w:rsid w:val="136E6F70"/>
    <w:rsid w:val="136F49F2"/>
    <w:rsid w:val="156A5AB1"/>
    <w:rsid w:val="174D524B"/>
    <w:rsid w:val="17AC6625"/>
    <w:rsid w:val="17B730F8"/>
    <w:rsid w:val="17BF2702"/>
    <w:rsid w:val="187312FE"/>
    <w:rsid w:val="189D20F0"/>
    <w:rsid w:val="18A26D28"/>
    <w:rsid w:val="18B75611"/>
    <w:rsid w:val="1A340F0D"/>
    <w:rsid w:val="1AE9632A"/>
    <w:rsid w:val="1B4C62ED"/>
    <w:rsid w:val="1B664B02"/>
    <w:rsid w:val="1B9D1B11"/>
    <w:rsid w:val="1C05121C"/>
    <w:rsid w:val="1C543106"/>
    <w:rsid w:val="1C637D8A"/>
    <w:rsid w:val="1DC040EF"/>
    <w:rsid w:val="1DD107F8"/>
    <w:rsid w:val="1EA04E92"/>
    <w:rsid w:val="1F137863"/>
    <w:rsid w:val="1F600F83"/>
    <w:rsid w:val="20F40FA1"/>
    <w:rsid w:val="21B300CF"/>
    <w:rsid w:val="23293051"/>
    <w:rsid w:val="233F7861"/>
    <w:rsid w:val="23543B2C"/>
    <w:rsid w:val="23745400"/>
    <w:rsid w:val="24632B20"/>
    <w:rsid w:val="24673502"/>
    <w:rsid w:val="246C1241"/>
    <w:rsid w:val="24B85814"/>
    <w:rsid w:val="24E9243D"/>
    <w:rsid w:val="25924E04"/>
    <w:rsid w:val="25EA4EFF"/>
    <w:rsid w:val="25F1364C"/>
    <w:rsid w:val="260B1E78"/>
    <w:rsid w:val="26A77D6D"/>
    <w:rsid w:val="26FB1A66"/>
    <w:rsid w:val="27C4437C"/>
    <w:rsid w:val="2ADA135E"/>
    <w:rsid w:val="2AF46F08"/>
    <w:rsid w:val="2BDD17C0"/>
    <w:rsid w:val="2C6A6437"/>
    <w:rsid w:val="2CA568CE"/>
    <w:rsid w:val="2D657CC7"/>
    <w:rsid w:val="2D690B19"/>
    <w:rsid w:val="2D765922"/>
    <w:rsid w:val="2DD97BC5"/>
    <w:rsid w:val="2E437C7A"/>
    <w:rsid w:val="2F042F37"/>
    <w:rsid w:val="2FC266CE"/>
    <w:rsid w:val="2FE21243"/>
    <w:rsid w:val="326B263A"/>
    <w:rsid w:val="329901D7"/>
    <w:rsid w:val="32FC17F5"/>
    <w:rsid w:val="33941B0E"/>
    <w:rsid w:val="35604FC4"/>
    <w:rsid w:val="35744E69"/>
    <w:rsid w:val="358878E1"/>
    <w:rsid w:val="358D50B8"/>
    <w:rsid w:val="36847C9D"/>
    <w:rsid w:val="36887484"/>
    <w:rsid w:val="368F13AC"/>
    <w:rsid w:val="394C1291"/>
    <w:rsid w:val="39A27166"/>
    <w:rsid w:val="39A81E75"/>
    <w:rsid w:val="39B847B3"/>
    <w:rsid w:val="39EE73DB"/>
    <w:rsid w:val="3A9C74FA"/>
    <w:rsid w:val="3C533D2D"/>
    <w:rsid w:val="3C7239F5"/>
    <w:rsid w:val="3CAC63CA"/>
    <w:rsid w:val="3D1E1CE9"/>
    <w:rsid w:val="3D404689"/>
    <w:rsid w:val="3DFE15C4"/>
    <w:rsid w:val="3E7C1E93"/>
    <w:rsid w:val="3F5C0E95"/>
    <w:rsid w:val="3F654A61"/>
    <w:rsid w:val="3FB749E6"/>
    <w:rsid w:val="40864A3E"/>
    <w:rsid w:val="40B01388"/>
    <w:rsid w:val="40EE33BB"/>
    <w:rsid w:val="41D50910"/>
    <w:rsid w:val="42DE0E3C"/>
    <w:rsid w:val="436A0F6E"/>
    <w:rsid w:val="455E2CCB"/>
    <w:rsid w:val="45D64829"/>
    <w:rsid w:val="460438E1"/>
    <w:rsid w:val="46CF6AB9"/>
    <w:rsid w:val="46F56CF9"/>
    <w:rsid w:val="472F5E6F"/>
    <w:rsid w:val="4842699B"/>
    <w:rsid w:val="48A47CE9"/>
    <w:rsid w:val="48F71942"/>
    <w:rsid w:val="491E7603"/>
    <w:rsid w:val="49775C2A"/>
    <w:rsid w:val="49DD673C"/>
    <w:rsid w:val="49E87E7F"/>
    <w:rsid w:val="4A1E1CDA"/>
    <w:rsid w:val="4B3D1C65"/>
    <w:rsid w:val="4B4B6913"/>
    <w:rsid w:val="4B60406A"/>
    <w:rsid w:val="4BA02065"/>
    <w:rsid w:val="4DA01A0F"/>
    <w:rsid w:val="4DB879CB"/>
    <w:rsid w:val="4E9A23C0"/>
    <w:rsid w:val="502A0373"/>
    <w:rsid w:val="5079376F"/>
    <w:rsid w:val="50B463F5"/>
    <w:rsid w:val="51F51BBA"/>
    <w:rsid w:val="52211464"/>
    <w:rsid w:val="523B3CE3"/>
    <w:rsid w:val="527E39B5"/>
    <w:rsid w:val="5347466B"/>
    <w:rsid w:val="534F74B4"/>
    <w:rsid w:val="53F11DDC"/>
    <w:rsid w:val="54155E08"/>
    <w:rsid w:val="5514584B"/>
    <w:rsid w:val="55343F9C"/>
    <w:rsid w:val="55A82D9F"/>
    <w:rsid w:val="55E715E1"/>
    <w:rsid w:val="567E74D2"/>
    <w:rsid w:val="56A52323"/>
    <w:rsid w:val="56B63FF8"/>
    <w:rsid w:val="56D7625E"/>
    <w:rsid w:val="580E0C05"/>
    <w:rsid w:val="58280675"/>
    <w:rsid w:val="5834152B"/>
    <w:rsid w:val="585C0DE5"/>
    <w:rsid w:val="58A06963"/>
    <w:rsid w:val="58F64084"/>
    <w:rsid w:val="59656A6D"/>
    <w:rsid w:val="5A6F3C54"/>
    <w:rsid w:val="5AB77C37"/>
    <w:rsid w:val="5B432396"/>
    <w:rsid w:val="5B6961B6"/>
    <w:rsid w:val="5D8E08EF"/>
    <w:rsid w:val="5DA91167"/>
    <w:rsid w:val="5E27171D"/>
    <w:rsid w:val="5E9A3CC2"/>
    <w:rsid w:val="5E9B1744"/>
    <w:rsid w:val="5F4170EE"/>
    <w:rsid w:val="5FB015E0"/>
    <w:rsid w:val="60A65818"/>
    <w:rsid w:val="62150778"/>
    <w:rsid w:val="6377613F"/>
    <w:rsid w:val="63BF5E24"/>
    <w:rsid w:val="6435107D"/>
    <w:rsid w:val="66E82887"/>
    <w:rsid w:val="67272049"/>
    <w:rsid w:val="67F02A95"/>
    <w:rsid w:val="682C3A8E"/>
    <w:rsid w:val="682E35D8"/>
    <w:rsid w:val="68C656C9"/>
    <w:rsid w:val="69180510"/>
    <w:rsid w:val="6941113D"/>
    <w:rsid w:val="69FB4684"/>
    <w:rsid w:val="6BF11C93"/>
    <w:rsid w:val="6CE24572"/>
    <w:rsid w:val="6D4E3707"/>
    <w:rsid w:val="6D5D3E89"/>
    <w:rsid w:val="6E154EA9"/>
    <w:rsid w:val="6F3D1422"/>
    <w:rsid w:val="6FA77CAE"/>
    <w:rsid w:val="6FC23924"/>
    <w:rsid w:val="6FF36EBB"/>
    <w:rsid w:val="70D54A2C"/>
    <w:rsid w:val="71854D74"/>
    <w:rsid w:val="71EF7705"/>
    <w:rsid w:val="72315ED1"/>
    <w:rsid w:val="72FE1E5B"/>
    <w:rsid w:val="73060E08"/>
    <w:rsid w:val="730A18ED"/>
    <w:rsid w:val="736B06D0"/>
    <w:rsid w:val="73DF6AEE"/>
    <w:rsid w:val="753261F5"/>
    <w:rsid w:val="75B639A1"/>
    <w:rsid w:val="76651340"/>
    <w:rsid w:val="77361223"/>
    <w:rsid w:val="776F7ED6"/>
    <w:rsid w:val="778C41B1"/>
    <w:rsid w:val="779068F1"/>
    <w:rsid w:val="77AF6FBB"/>
    <w:rsid w:val="7877148B"/>
    <w:rsid w:val="7924185B"/>
    <w:rsid w:val="7A393626"/>
    <w:rsid w:val="7C135051"/>
    <w:rsid w:val="7C137E1D"/>
    <w:rsid w:val="7CAC3333"/>
    <w:rsid w:val="7CE27BCB"/>
    <w:rsid w:val="7D1C6D94"/>
    <w:rsid w:val="7D6F575A"/>
    <w:rsid w:val="7DD40CFD"/>
    <w:rsid w:val="7EBF5BCD"/>
    <w:rsid w:val="7FEF5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18"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pageBreakBefore/>
      <w:spacing w:before="1000" w:beforeLines="1000" w:after="360"/>
      <w:outlineLvl w:val="0"/>
    </w:pPr>
    <w:rPr>
      <w:color w:val="595959"/>
      <w:sz w:val="36"/>
    </w:rPr>
  </w:style>
  <w:style w:type="paragraph" w:styleId="3">
    <w:name w:val="heading 9"/>
    <w:basedOn w:val="1"/>
    <w:next w:val="1"/>
    <w:autoRedefine/>
    <w:unhideWhenUsed/>
    <w:qFormat/>
    <w:uiPriority w:val="18"/>
    <w:pPr>
      <w:keepNext/>
      <w:keepLines/>
      <w:spacing w:before="200"/>
      <w:outlineLvl w:val="8"/>
    </w:pPr>
    <w:rPr>
      <w:rFonts w:ascii="Calibri" w:hAnsi="Calibri" w:eastAsia="宋体" w:cs="Arial"/>
      <w:i/>
      <w:iCs/>
      <w:color w:val="404040"/>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style>
  <w:style w:type="paragraph" w:styleId="5">
    <w:name w:val="index 5"/>
    <w:basedOn w:val="1"/>
    <w:next w:val="1"/>
    <w:unhideWhenUsed/>
    <w:qFormat/>
    <w:uiPriority w:val="99"/>
    <w:pPr>
      <w:ind w:left="1100" w:hanging="220"/>
    </w:pPr>
    <w:rPr>
      <w:color w:val="595959"/>
    </w:rPr>
  </w:style>
  <w:style w:type="paragraph" w:styleId="6">
    <w:name w:val="Body Text"/>
    <w:basedOn w:val="1"/>
    <w:next w:val="1"/>
    <w:qFormat/>
    <w:uiPriority w:val="0"/>
    <w:pPr>
      <w:spacing w:after="120" w:line="360" w:lineRule="auto"/>
      <w:ind w:right="-10" w:rightChars="-10" w:firstLine="200" w:firstLineChars="200"/>
    </w:pPr>
    <w:rPr>
      <w:rFonts w:ascii="宋体" w:hAnsi="宋体"/>
      <w:sz w:val="24"/>
      <w:szCs w:val="22"/>
    </w:rPr>
  </w:style>
  <w:style w:type="paragraph" w:styleId="7">
    <w:name w:val="Body Text Indent 2"/>
    <w:basedOn w:val="1"/>
    <w:unhideWhenUsed/>
    <w:qFormat/>
    <w:uiPriority w:val="99"/>
    <w:pPr>
      <w:spacing w:after="120" w:line="480" w:lineRule="auto"/>
      <w:ind w:left="420" w:leftChars="200"/>
    </w:pPr>
  </w:style>
  <w:style w:type="paragraph" w:styleId="8">
    <w:name w:val="footer"/>
    <w:basedOn w:val="1"/>
    <w:link w:val="27"/>
    <w:autoRedefine/>
    <w:qFormat/>
    <w:uiPriority w:val="0"/>
    <w:pPr>
      <w:tabs>
        <w:tab w:val="center" w:pos="4153"/>
        <w:tab w:val="right" w:pos="8306"/>
      </w:tabs>
      <w:snapToGrid w:val="0"/>
      <w:jc w:val="left"/>
    </w:pPr>
    <w:rPr>
      <w:sz w:val="18"/>
      <w:szCs w:val="18"/>
    </w:rPr>
  </w:style>
  <w:style w:type="paragraph" w:styleId="9">
    <w:name w:val="header"/>
    <w:basedOn w:val="1"/>
    <w:link w:val="26"/>
    <w:qFormat/>
    <w:uiPriority w:val="0"/>
    <w:pP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customStyle="1" w:styleId="15">
    <w:name w:val="font01"/>
    <w:basedOn w:val="13"/>
    <w:qFormat/>
    <w:uiPriority w:val="0"/>
    <w:rPr>
      <w:rFonts w:hint="default" w:ascii="方正仿宋_GBK" w:hAnsi="方正仿宋_GBK" w:eastAsia="方正仿宋_GBK" w:cs="方正仿宋_GBK"/>
      <w:color w:val="000000"/>
      <w:sz w:val="24"/>
      <w:szCs w:val="24"/>
      <w:u w:val="none"/>
    </w:rPr>
  </w:style>
  <w:style w:type="character" w:customStyle="1" w:styleId="16">
    <w:name w:val="font61"/>
    <w:basedOn w:val="13"/>
    <w:qFormat/>
    <w:uiPriority w:val="0"/>
    <w:rPr>
      <w:rFonts w:hint="default" w:ascii="方正仿宋_GBK" w:hAnsi="方正仿宋_GBK" w:eastAsia="方正仿宋_GBK" w:cs="方正仿宋_GBK"/>
      <w:color w:val="000000"/>
      <w:sz w:val="26"/>
      <w:szCs w:val="26"/>
      <w:u w:val="none"/>
    </w:rPr>
  </w:style>
  <w:style w:type="character" w:customStyle="1" w:styleId="17">
    <w:name w:val="font91"/>
    <w:basedOn w:val="13"/>
    <w:qFormat/>
    <w:uiPriority w:val="0"/>
    <w:rPr>
      <w:rFonts w:hint="default" w:ascii="Times New Roman" w:hAnsi="Times New Roman" w:cs="Times New Roman"/>
      <w:color w:val="000000"/>
      <w:sz w:val="26"/>
      <w:szCs w:val="26"/>
      <w:u w:val="none"/>
    </w:rPr>
  </w:style>
  <w:style w:type="character" w:customStyle="1" w:styleId="18">
    <w:name w:val="font71"/>
    <w:basedOn w:val="13"/>
    <w:autoRedefine/>
    <w:qFormat/>
    <w:uiPriority w:val="0"/>
    <w:rPr>
      <w:rFonts w:hint="default" w:ascii="方正仿宋_GBK" w:hAnsi="方正仿宋_GBK" w:eastAsia="方正仿宋_GBK" w:cs="方正仿宋_GBK"/>
      <w:color w:val="000000"/>
      <w:sz w:val="22"/>
      <w:szCs w:val="22"/>
      <w:u w:val="none"/>
    </w:rPr>
  </w:style>
  <w:style w:type="character" w:customStyle="1" w:styleId="19">
    <w:name w:val="font101"/>
    <w:basedOn w:val="13"/>
    <w:qFormat/>
    <w:uiPriority w:val="0"/>
    <w:rPr>
      <w:rFonts w:ascii="Arial" w:hAnsi="Arial" w:cs="Arial"/>
      <w:color w:val="000000"/>
      <w:sz w:val="22"/>
      <w:szCs w:val="22"/>
      <w:u w:val="none"/>
    </w:rPr>
  </w:style>
  <w:style w:type="character" w:customStyle="1" w:styleId="20">
    <w:name w:val="font31"/>
    <w:basedOn w:val="13"/>
    <w:qFormat/>
    <w:uiPriority w:val="0"/>
    <w:rPr>
      <w:rFonts w:hint="default" w:ascii="Times New Roman" w:hAnsi="Times New Roman" w:cs="Times New Roman"/>
      <w:color w:val="000000"/>
      <w:sz w:val="22"/>
      <w:szCs w:val="22"/>
      <w:u w:val="none"/>
    </w:rPr>
  </w:style>
  <w:style w:type="character" w:customStyle="1" w:styleId="21">
    <w:name w:val="font41"/>
    <w:basedOn w:val="13"/>
    <w:autoRedefine/>
    <w:qFormat/>
    <w:uiPriority w:val="0"/>
    <w:rPr>
      <w:rFonts w:hint="eastAsia" w:ascii="宋体" w:hAnsi="宋体" w:eastAsia="宋体" w:cs="宋体"/>
      <w:color w:val="000000"/>
      <w:sz w:val="22"/>
      <w:szCs w:val="22"/>
      <w:u w:val="none"/>
    </w:rPr>
  </w:style>
  <w:style w:type="character" w:customStyle="1" w:styleId="22">
    <w:name w:val="font21"/>
    <w:basedOn w:val="13"/>
    <w:qFormat/>
    <w:uiPriority w:val="0"/>
    <w:rPr>
      <w:rFonts w:hint="eastAsia" w:ascii="宋体" w:hAnsi="宋体" w:eastAsia="宋体" w:cs="宋体"/>
      <w:color w:val="000000"/>
      <w:sz w:val="20"/>
      <w:szCs w:val="20"/>
      <w:u w:val="none"/>
    </w:rPr>
  </w:style>
  <w:style w:type="character" w:customStyle="1" w:styleId="23">
    <w:name w:val="font112"/>
    <w:basedOn w:val="13"/>
    <w:autoRedefine/>
    <w:qFormat/>
    <w:uiPriority w:val="0"/>
    <w:rPr>
      <w:rFonts w:hint="default" w:ascii="Times New Roman" w:hAnsi="Times New Roman" w:cs="Times New Roman"/>
      <w:color w:val="000000"/>
      <w:sz w:val="20"/>
      <w:szCs w:val="20"/>
      <w:u w:val="none"/>
    </w:rPr>
  </w:style>
  <w:style w:type="character" w:customStyle="1" w:styleId="24">
    <w:name w:val="font51"/>
    <w:basedOn w:val="13"/>
    <w:qFormat/>
    <w:uiPriority w:val="0"/>
    <w:rPr>
      <w:rFonts w:hint="default" w:ascii="方正仿宋_GBK" w:hAnsi="方正仿宋_GBK" w:eastAsia="方正仿宋_GBK" w:cs="方正仿宋_GBK"/>
      <w:color w:val="000000"/>
      <w:sz w:val="20"/>
      <w:szCs w:val="20"/>
      <w:u w:val="none"/>
    </w:rPr>
  </w:style>
  <w:style w:type="character" w:customStyle="1" w:styleId="25">
    <w:name w:val="font11"/>
    <w:basedOn w:val="13"/>
    <w:autoRedefine/>
    <w:qFormat/>
    <w:uiPriority w:val="0"/>
    <w:rPr>
      <w:rFonts w:hint="default" w:ascii="Times New Roman" w:hAnsi="Times New Roman" w:cs="Times New Roman"/>
      <w:color w:val="000000"/>
      <w:sz w:val="20"/>
      <w:szCs w:val="20"/>
      <w:u w:val="none"/>
    </w:rPr>
  </w:style>
  <w:style w:type="character" w:customStyle="1" w:styleId="26">
    <w:name w:val="页眉 字符"/>
    <w:basedOn w:val="13"/>
    <w:link w:val="9"/>
    <w:qFormat/>
    <w:uiPriority w:val="0"/>
    <w:rPr>
      <w:rFonts w:asciiTheme="minorHAnsi" w:hAnsiTheme="minorHAnsi" w:eastAsiaTheme="minorEastAsia" w:cstheme="minorBidi"/>
      <w:kern w:val="2"/>
      <w:sz w:val="18"/>
      <w:szCs w:val="18"/>
    </w:rPr>
  </w:style>
  <w:style w:type="character" w:customStyle="1" w:styleId="27">
    <w:name w:val="页脚 字符"/>
    <w:basedOn w:val="13"/>
    <w:link w:val="8"/>
    <w:autoRedefine/>
    <w:qFormat/>
    <w:uiPriority w:val="0"/>
    <w:rPr>
      <w:rFonts w:asciiTheme="minorHAnsi" w:hAnsiTheme="minorHAnsi" w:eastAsiaTheme="minorEastAsia" w:cstheme="minorBidi"/>
      <w:kern w:val="2"/>
      <w:sz w:val="18"/>
      <w:szCs w:val="18"/>
    </w:rPr>
  </w:style>
  <w:style w:type="paragraph" w:styleId="28">
    <w:name w:val="List Paragraph"/>
    <w:basedOn w:val="1"/>
    <w:autoRedefine/>
    <w:unhideWhenUsed/>
    <w:qFormat/>
    <w:uiPriority w:val="99"/>
    <w:pPr>
      <w:ind w:firstLine="420" w:firstLineChars="200"/>
    </w:pPr>
  </w:style>
  <w:style w:type="table" w:customStyle="1" w:styleId="29">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7882</Words>
  <Characters>8115</Characters>
  <Lines>93</Lines>
  <Paragraphs>26</Paragraphs>
  <TotalTime>1</TotalTime>
  <ScaleCrop>false</ScaleCrop>
  <LinksUpToDate>false</LinksUpToDate>
  <CharactersWithSpaces>8467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2024-01-16T13:20:00Z</dcterms:created>
  <dc:creator>CGB</dc:creator>
  <cp:lastModifiedBy>萝卜笔记本</cp:lastModifiedBy>
  <dcterms:modified xsi:type="dcterms:W3CDTF">2025-06-27T10:09:36Z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D105C7557B1D4BC5996BB88037F7626C</vt:lpwstr>
  </property>
  <property fmtid="{D5CDD505-2E9C-101B-9397-08002B2CF9AE}" pid="4" name="KSOTemplateDocerSaveRecord">
    <vt:lpwstr>eyJoZGlkIjoiMzEwNTM5NzYwMDRjMzkwZTVkZjY2ODkwMGIxNGU0OTUiLCJ1c2VySWQiOiIyMzA5NjUzMTgifQ==</vt:lpwstr>
  </property>
</Properties>
</file>